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68" w:rsidRPr="007605A8" w:rsidRDefault="003B3D68">
      <w:pPr>
        <w:rPr>
          <w:rFonts w:asciiTheme="majorHAnsi" w:eastAsia="Roboto Condensed" w:hAnsiTheme="majorHAnsi" w:cstheme="majorHAnsi"/>
        </w:rPr>
      </w:pPr>
    </w:p>
    <w:p w:rsidR="003B3D68" w:rsidRPr="007605A8" w:rsidRDefault="00747908">
      <w:pPr>
        <w:jc w:val="center"/>
        <w:rPr>
          <w:rFonts w:asciiTheme="majorHAnsi" w:eastAsia="Roboto Condensed" w:hAnsiTheme="majorHAnsi" w:cstheme="majorHAnsi"/>
        </w:rPr>
      </w:pPr>
      <w:r w:rsidRPr="007605A8">
        <w:rPr>
          <w:rFonts w:asciiTheme="majorHAnsi" w:eastAsia="Roboto Condensed" w:hAnsiTheme="majorHAnsi" w:cstheme="majorHAnsi"/>
          <w:noProof/>
          <w:lang w:val="en-US"/>
        </w:rPr>
        <w:drawing>
          <wp:inline distT="114300" distB="114300" distL="114300" distR="114300">
            <wp:extent cx="3202305" cy="1076325"/>
            <wp:effectExtent l="0" t="0" r="0"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203894" cy="1076859"/>
                    </a:xfrm>
                    <a:prstGeom prst="rect">
                      <a:avLst/>
                    </a:prstGeom>
                    <a:ln/>
                  </pic:spPr>
                </pic:pic>
              </a:graphicData>
            </a:graphic>
          </wp:inline>
        </w:drawing>
      </w:r>
    </w:p>
    <w:p w:rsidR="003B3D68" w:rsidRPr="007605A8" w:rsidRDefault="001B37F0">
      <w:pPr>
        <w:jc w:val="center"/>
        <w:rPr>
          <w:rFonts w:asciiTheme="majorHAnsi" w:eastAsia="Roboto Condensed" w:hAnsiTheme="majorHAnsi" w:cstheme="majorHAnsi"/>
          <w:i/>
          <w:sz w:val="28"/>
          <w:szCs w:val="28"/>
        </w:rPr>
      </w:pPr>
      <w:r w:rsidRPr="001B37F0">
        <w:rPr>
          <w:rFonts w:asciiTheme="majorHAnsi" w:eastAsia="Roboto Condensed" w:hAnsiTheme="majorHAnsi" w:cstheme="majorHAnsi"/>
          <w:b/>
          <w:sz w:val="36"/>
          <w:szCs w:val="36"/>
        </w:rPr>
        <w:t xml:space="preserve">Extraordinary Times: </w:t>
      </w:r>
      <w:r>
        <w:rPr>
          <w:rFonts w:asciiTheme="majorHAnsi" w:eastAsia="Roboto Condensed" w:hAnsiTheme="majorHAnsi" w:cstheme="majorHAnsi"/>
          <w:b/>
          <w:sz w:val="36"/>
          <w:szCs w:val="36"/>
        </w:rPr>
        <w:br/>
      </w:r>
      <w:r w:rsidRPr="001B37F0">
        <w:rPr>
          <w:rFonts w:asciiTheme="majorHAnsi" w:eastAsia="Roboto Condensed" w:hAnsiTheme="majorHAnsi" w:cstheme="majorHAnsi"/>
          <w:b/>
          <w:sz w:val="36"/>
          <w:szCs w:val="36"/>
        </w:rPr>
        <w:t xml:space="preserve">Transforming Professional Practice in a Time of Crisis </w:t>
      </w:r>
      <w:r>
        <w:rPr>
          <w:rFonts w:asciiTheme="majorHAnsi" w:eastAsia="Roboto Condensed" w:hAnsiTheme="majorHAnsi" w:cstheme="majorHAnsi"/>
          <w:b/>
          <w:sz w:val="36"/>
          <w:szCs w:val="36"/>
        </w:rPr>
        <w:br/>
      </w:r>
      <w:r>
        <w:rPr>
          <w:rFonts w:asciiTheme="majorHAnsi" w:eastAsia="Roboto Condensed" w:hAnsiTheme="majorHAnsi" w:cstheme="majorHAnsi"/>
          <w:i/>
          <w:sz w:val="28"/>
          <w:szCs w:val="28"/>
        </w:rPr>
        <w:t>EDTS 500ZZ</w:t>
      </w:r>
    </w:p>
    <w:p w:rsidR="003B3D68" w:rsidRPr="007605A8" w:rsidRDefault="003B3D68">
      <w:pPr>
        <w:jc w:val="center"/>
        <w:rPr>
          <w:rFonts w:asciiTheme="majorHAnsi" w:eastAsia="Roboto Condensed" w:hAnsiTheme="majorHAnsi" w:cstheme="majorHAnsi"/>
          <w:sz w:val="16"/>
          <w:szCs w:val="16"/>
        </w:rPr>
      </w:pPr>
    </w:p>
    <w:p w:rsidR="003B3D68" w:rsidRPr="007605A8" w:rsidRDefault="00747908">
      <w:pPr>
        <w:rPr>
          <w:rFonts w:asciiTheme="majorHAnsi" w:eastAsia="Roboto Condensed" w:hAnsiTheme="majorHAnsi" w:cstheme="majorHAnsi"/>
          <w:sz w:val="24"/>
          <w:szCs w:val="24"/>
        </w:rPr>
      </w:pPr>
      <w:r w:rsidRPr="007605A8">
        <w:rPr>
          <w:rFonts w:asciiTheme="majorHAnsi" w:eastAsia="Roboto Condensed" w:hAnsiTheme="majorHAnsi" w:cstheme="majorHAnsi"/>
          <w:b/>
          <w:sz w:val="24"/>
          <w:szCs w:val="24"/>
        </w:rPr>
        <w:t>Total Graduate Credits:</w:t>
      </w:r>
      <w:r w:rsidRPr="007605A8">
        <w:rPr>
          <w:rFonts w:asciiTheme="majorHAnsi" w:eastAsia="Roboto Condensed" w:hAnsiTheme="majorHAnsi" w:cstheme="majorHAnsi"/>
          <w:sz w:val="24"/>
          <w:szCs w:val="24"/>
        </w:rPr>
        <w:t xml:space="preserve"> </w:t>
      </w:r>
      <w:r w:rsidR="001B37F0">
        <w:rPr>
          <w:rFonts w:asciiTheme="majorHAnsi" w:eastAsia="Roboto Condensed" w:hAnsiTheme="majorHAnsi" w:cstheme="majorHAnsi"/>
          <w:sz w:val="24"/>
          <w:szCs w:val="24"/>
        </w:rPr>
        <w:t>3</w:t>
      </w:r>
    </w:p>
    <w:p w:rsidR="003B3D68" w:rsidRDefault="001B37F0">
      <w:pPr>
        <w:rPr>
          <w:rFonts w:ascii="Calibri" w:hAnsi="Calibri" w:cs="Calibri"/>
          <w:color w:val="000000"/>
          <w:shd w:val="clear" w:color="auto" w:fill="FFFFFF"/>
        </w:rPr>
      </w:pPr>
      <w:r>
        <w:rPr>
          <w:rFonts w:asciiTheme="majorHAnsi" w:eastAsia="Roboto Condensed" w:hAnsiTheme="majorHAnsi" w:cstheme="majorHAnsi"/>
          <w:b/>
          <w:sz w:val="24"/>
          <w:szCs w:val="24"/>
        </w:rPr>
        <w:t xml:space="preserve">SNHU Transcript Title: </w:t>
      </w:r>
      <w:r>
        <w:rPr>
          <w:rFonts w:ascii="Calibri" w:hAnsi="Calibri" w:cs="Calibri"/>
          <w:color w:val="000000"/>
          <w:shd w:val="clear" w:color="auto" w:fill="FFFFFF"/>
        </w:rPr>
        <w:t xml:space="preserve">Trans Prof </w:t>
      </w:r>
      <w:proofErr w:type="spellStart"/>
      <w:r>
        <w:rPr>
          <w:rFonts w:ascii="Calibri" w:hAnsi="Calibri" w:cs="Calibri"/>
          <w:color w:val="000000"/>
          <w:shd w:val="clear" w:color="auto" w:fill="FFFFFF"/>
        </w:rPr>
        <w:t>Prac</w:t>
      </w:r>
      <w:proofErr w:type="spellEnd"/>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During</w:t>
      </w:r>
      <w:proofErr w:type="gramEnd"/>
      <w:r>
        <w:rPr>
          <w:rFonts w:ascii="Calibri" w:hAnsi="Calibri" w:cs="Calibri"/>
          <w:color w:val="000000"/>
          <w:shd w:val="clear" w:color="auto" w:fill="FFFFFF"/>
        </w:rPr>
        <w:t xml:space="preserve"> Crisis</w:t>
      </w:r>
    </w:p>
    <w:p w:rsidR="00B70387" w:rsidRPr="007605A8" w:rsidRDefault="00B70387">
      <w:pPr>
        <w:rPr>
          <w:rFonts w:asciiTheme="majorHAnsi" w:eastAsia="Roboto Condensed" w:hAnsiTheme="majorHAnsi" w:cstheme="majorHAnsi"/>
          <w:sz w:val="24"/>
          <w:szCs w:val="24"/>
        </w:rPr>
      </w:pPr>
    </w:p>
    <w:p w:rsidR="003B3D68" w:rsidRPr="007605A8" w:rsidRDefault="00CA1A40">
      <w:pPr>
        <w:jc w:val="center"/>
        <w:rPr>
          <w:rFonts w:asciiTheme="majorHAnsi" w:eastAsia="Roboto Condensed" w:hAnsiTheme="majorHAnsi" w:cstheme="majorHAnsi"/>
          <w:sz w:val="16"/>
          <w:szCs w:val="16"/>
        </w:rPr>
      </w:pPr>
      <w:r>
        <w:rPr>
          <w:rFonts w:asciiTheme="majorHAnsi" w:hAnsiTheme="majorHAnsi" w:cstheme="majorHAnsi"/>
        </w:rPr>
        <w:pict>
          <v:rect id="_x0000_i1025" style="width:0;height:1.5pt" o:hralign="center" o:hrstd="t" o:hr="t" fillcolor="#a0a0a0" stroked="f"/>
        </w:pict>
      </w:r>
    </w:p>
    <w:p w:rsidR="003B3D68" w:rsidRPr="007605A8" w:rsidRDefault="00747908">
      <w:pPr>
        <w:rPr>
          <w:rFonts w:asciiTheme="majorHAnsi" w:eastAsia="Roboto Condensed" w:hAnsiTheme="majorHAnsi" w:cstheme="majorHAnsi"/>
          <w:b/>
          <w:sz w:val="26"/>
          <w:szCs w:val="26"/>
        </w:rPr>
      </w:pPr>
      <w:r w:rsidRPr="007605A8">
        <w:rPr>
          <w:rFonts w:asciiTheme="majorHAnsi" w:eastAsia="Roboto Condensed" w:hAnsiTheme="majorHAnsi" w:cstheme="majorHAnsi"/>
          <w:b/>
          <w:sz w:val="26"/>
          <w:szCs w:val="26"/>
        </w:rPr>
        <w:t>Course Description:</w:t>
      </w:r>
    </w:p>
    <w:p w:rsidR="001B37F0" w:rsidRDefault="001B37F0">
      <w:pPr>
        <w:rPr>
          <w:rFonts w:asciiTheme="majorHAnsi" w:eastAsia="Roboto Condensed" w:hAnsiTheme="majorHAnsi" w:cstheme="majorHAnsi"/>
        </w:rPr>
      </w:pPr>
    </w:p>
    <w:p w:rsidR="003B3D68" w:rsidRPr="007605A8" w:rsidRDefault="001B37F0">
      <w:pPr>
        <w:rPr>
          <w:rFonts w:asciiTheme="majorHAnsi" w:eastAsia="Roboto Condensed" w:hAnsiTheme="majorHAnsi" w:cstheme="majorHAnsi"/>
        </w:rPr>
      </w:pPr>
      <w:r w:rsidRPr="001B37F0">
        <w:rPr>
          <w:rFonts w:asciiTheme="majorHAnsi" w:eastAsia="Roboto Condensed" w:hAnsiTheme="majorHAnsi" w:cstheme="majorHAnsi"/>
        </w:rPr>
        <w:t>In this course, students will reflect upon their efforts to support students, their school, and the community during the COVID-19 crisis. Emphasis is placed on the ways in which teachers transformed their curriculum, pedagogy, instruction, and collaboration with one another to ensure the continued delivery of K12 education.</w:t>
      </w:r>
    </w:p>
    <w:p w:rsidR="003B3D68" w:rsidRPr="007605A8" w:rsidRDefault="003B3D68">
      <w:pPr>
        <w:rPr>
          <w:rFonts w:asciiTheme="majorHAnsi" w:eastAsia="Roboto Condensed" w:hAnsiTheme="majorHAnsi" w:cstheme="majorHAnsi"/>
        </w:rPr>
      </w:pPr>
    </w:p>
    <w:p w:rsidR="003B3D68" w:rsidRPr="007605A8" w:rsidRDefault="003B3D68">
      <w:pPr>
        <w:rPr>
          <w:rFonts w:asciiTheme="majorHAnsi" w:eastAsia="Roboto Condensed" w:hAnsiTheme="majorHAnsi" w:cstheme="majorHAnsi"/>
          <w:b/>
          <w:sz w:val="26"/>
          <w:szCs w:val="26"/>
        </w:rPr>
      </w:pPr>
    </w:p>
    <w:p w:rsidR="003B3D68" w:rsidRPr="007605A8" w:rsidRDefault="00CA1A40">
      <w:pPr>
        <w:rPr>
          <w:rFonts w:asciiTheme="majorHAnsi" w:eastAsia="Roboto Condensed" w:hAnsiTheme="majorHAnsi" w:cstheme="majorHAnsi"/>
          <w:b/>
          <w:sz w:val="16"/>
          <w:szCs w:val="16"/>
        </w:rPr>
      </w:pPr>
      <w:r>
        <w:rPr>
          <w:rFonts w:asciiTheme="majorHAnsi" w:hAnsiTheme="majorHAnsi" w:cstheme="majorHAnsi"/>
        </w:rPr>
        <w:pict>
          <v:rect id="_x0000_i1026" style="width:0;height:1.5pt" o:hralign="center" o:hrstd="t" o:hr="t" fillcolor="#a0a0a0" stroked="f"/>
        </w:pict>
      </w:r>
    </w:p>
    <w:p w:rsidR="003B3D68" w:rsidRPr="007605A8" w:rsidRDefault="00747908">
      <w:pPr>
        <w:rPr>
          <w:rFonts w:asciiTheme="majorHAnsi" w:eastAsia="Roboto Condensed" w:hAnsiTheme="majorHAnsi" w:cstheme="majorHAnsi"/>
          <w:b/>
          <w:sz w:val="26"/>
          <w:szCs w:val="26"/>
        </w:rPr>
      </w:pPr>
      <w:r w:rsidRPr="007605A8">
        <w:rPr>
          <w:rFonts w:asciiTheme="majorHAnsi" w:eastAsia="Roboto Condensed" w:hAnsiTheme="majorHAnsi" w:cstheme="majorHAnsi"/>
          <w:b/>
          <w:sz w:val="26"/>
          <w:szCs w:val="26"/>
        </w:rPr>
        <w:t>Course Objectives:</w:t>
      </w:r>
    </w:p>
    <w:p w:rsidR="003B3D68" w:rsidRPr="007605A8" w:rsidRDefault="003B3D68">
      <w:pPr>
        <w:rPr>
          <w:rFonts w:asciiTheme="majorHAnsi" w:eastAsia="Roboto Condensed" w:hAnsiTheme="majorHAnsi" w:cstheme="majorHAnsi"/>
        </w:rPr>
      </w:pPr>
    </w:p>
    <w:p w:rsidR="001B37F0" w:rsidRPr="001B37F0" w:rsidRDefault="001B37F0" w:rsidP="00CB33E5">
      <w:pPr>
        <w:ind w:left="720"/>
        <w:rPr>
          <w:rFonts w:asciiTheme="majorHAnsi" w:eastAsia="Roboto Condensed" w:hAnsiTheme="majorHAnsi" w:cstheme="majorHAnsi"/>
          <w:lang w:val="en-US"/>
        </w:rPr>
      </w:pPr>
      <w:r w:rsidRPr="001B37F0">
        <w:rPr>
          <w:rFonts w:asciiTheme="majorHAnsi" w:eastAsia="Roboto Condensed" w:hAnsiTheme="majorHAnsi" w:cstheme="majorHAnsi"/>
          <w:lang w:val="en-US"/>
        </w:rPr>
        <w:t>· Evaluate the context, circumstances, and efforts surrounding the transition to online, virtual teaching and learning in one’s given context.</w:t>
      </w:r>
      <w:r>
        <w:rPr>
          <w:rFonts w:asciiTheme="majorHAnsi" w:eastAsia="Roboto Condensed" w:hAnsiTheme="majorHAnsi" w:cstheme="majorHAnsi"/>
          <w:lang w:val="en-US"/>
        </w:rPr>
        <w:br/>
      </w:r>
    </w:p>
    <w:p w:rsidR="001B37F0" w:rsidRPr="001B37F0" w:rsidRDefault="001B37F0" w:rsidP="00CB33E5">
      <w:pPr>
        <w:ind w:left="720"/>
        <w:rPr>
          <w:rFonts w:asciiTheme="majorHAnsi" w:eastAsia="Roboto Condensed" w:hAnsiTheme="majorHAnsi" w:cstheme="majorHAnsi"/>
          <w:lang w:val="en-US"/>
        </w:rPr>
      </w:pPr>
      <w:r w:rsidRPr="001B37F0">
        <w:rPr>
          <w:rFonts w:asciiTheme="majorHAnsi" w:eastAsia="Roboto Condensed" w:hAnsiTheme="majorHAnsi" w:cstheme="majorHAnsi"/>
          <w:lang w:val="en-US"/>
        </w:rPr>
        <w:t>· Assess the effectiveness, utility, benefits, and drawbacks of approaches adopted during the COVID-19 crisis.</w:t>
      </w:r>
      <w:r>
        <w:rPr>
          <w:rFonts w:asciiTheme="majorHAnsi" w:eastAsia="Roboto Condensed" w:hAnsiTheme="majorHAnsi" w:cstheme="majorHAnsi"/>
          <w:lang w:val="en-US"/>
        </w:rPr>
        <w:br/>
      </w:r>
    </w:p>
    <w:p w:rsidR="001B37F0" w:rsidRPr="001B37F0" w:rsidRDefault="001B37F0" w:rsidP="00CB33E5">
      <w:pPr>
        <w:ind w:left="720"/>
        <w:rPr>
          <w:rFonts w:asciiTheme="majorHAnsi" w:eastAsia="Roboto Condensed" w:hAnsiTheme="majorHAnsi" w:cstheme="majorHAnsi"/>
          <w:lang w:val="en-US"/>
        </w:rPr>
      </w:pPr>
      <w:r w:rsidRPr="001B37F0">
        <w:rPr>
          <w:rFonts w:asciiTheme="majorHAnsi" w:eastAsia="Roboto Condensed" w:hAnsiTheme="majorHAnsi" w:cstheme="majorHAnsi"/>
          <w:lang w:val="en-US"/>
        </w:rPr>
        <w:t>· Formulate strategies for integrating new learnings emerging from the transition to online, virtual teaching and learning into future professional practice.</w:t>
      </w:r>
    </w:p>
    <w:p w:rsidR="003B3D68" w:rsidRDefault="003B3D68">
      <w:pPr>
        <w:rPr>
          <w:rFonts w:asciiTheme="majorHAnsi" w:eastAsia="Roboto Condensed" w:hAnsiTheme="majorHAnsi" w:cstheme="majorHAnsi"/>
        </w:rPr>
      </w:pPr>
    </w:p>
    <w:p w:rsidR="00CB33E5" w:rsidRPr="007605A8" w:rsidRDefault="00CB33E5">
      <w:pPr>
        <w:rPr>
          <w:rFonts w:asciiTheme="majorHAnsi" w:eastAsia="Roboto Condensed" w:hAnsiTheme="majorHAnsi" w:cstheme="majorHAnsi"/>
        </w:rPr>
      </w:pPr>
    </w:p>
    <w:p w:rsidR="003B3D68" w:rsidRPr="007605A8" w:rsidRDefault="00CA1A40">
      <w:pPr>
        <w:rPr>
          <w:rFonts w:asciiTheme="majorHAnsi" w:eastAsia="Roboto Condensed" w:hAnsiTheme="majorHAnsi" w:cstheme="majorHAnsi"/>
          <w:sz w:val="16"/>
          <w:szCs w:val="16"/>
        </w:rPr>
      </w:pPr>
      <w:r>
        <w:rPr>
          <w:rFonts w:asciiTheme="majorHAnsi" w:hAnsiTheme="majorHAnsi" w:cstheme="majorHAnsi"/>
        </w:rPr>
        <w:pict>
          <v:rect id="_x0000_i1027" style="width:0;height:1.5pt" o:hralign="center" o:hrstd="t" o:hr="t" fillcolor="#a0a0a0" stroked="f"/>
        </w:pict>
      </w:r>
    </w:p>
    <w:p w:rsidR="003B3D68" w:rsidRPr="007605A8" w:rsidRDefault="00747908">
      <w:pPr>
        <w:rPr>
          <w:rFonts w:asciiTheme="majorHAnsi" w:eastAsia="Roboto Condensed" w:hAnsiTheme="majorHAnsi" w:cstheme="majorHAnsi"/>
          <w:b/>
          <w:sz w:val="26"/>
          <w:szCs w:val="26"/>
        </w:rPr>
      </w:pPr>
      <w:r w:rsidRPr="007605A8">
        <w:rPr>
          <w:rFonts w:asciiTheme="majorHAnsi" w:eastAsia="Roboto Condensed" w:hAnsiTheme="majorHAnsi" w:cstheme="majorHAnsi"/>
          <w:b/>
          <w:sz w:val="26"/>
          <w:szCs w:val="26"/>
        </w:rPr>
        <w:t>Course Outline:</w:t>
      </w:r>
    </w:p>
    <w:p w:rsidR="003B3D68" w:rsidRPr="007605A8" w:rsidRDefault="003B3D68">
      <w:pPr>
        <w:rPr>
          <w:rFonts w:asciiTheme="majorHAnsi" w:eastAsia="Roboto Condensed" w:hAnsiTheme="majorHAnsi" w:cstheme="majorHAnsi"/>
          <w:b/>
        </w:rPr>
      </w:pPr>
    </w:p>
    <w:p w:rsidR="003B3D68" w:rsidRDefault="001B37F0">
      <w:pPr>
        <w:rPr>
          <w:rFonts w:asciiTheme="majorHAnsi" w:eastAsia="Roboto Condensed" w:hAnsiTheme="majorHAnsi" w:cstheme="majorHAnsi"/>
        </w:rPr>
      </w:pPr>
      <w:r>
        <w:rPr>
          <w:rFonts w:asciiTheme="majorHAnsi" w:eastAsia="Roboto Condensed" w:hAnsiTheme="majorHAnsi" w:cstheme="majorHAnsi"/>
        </w:rPr>
        <w:t>The course is comprised of seven different domains that a participant could reflect upon.  These domains cover various topics within the field of education that were impacted and</w:t>
      </w:r>
      <w:r w:rsidR="00B70387">
        <w:rPr>
          <w:rFonts w:asciiTheme="majorHAnsi" w:eastAsia="Roboto Condensed" w:hAnsiTheme="majorHAnsi" w:cstheme="majorHAnsi"/>
        </w:rPr>
        <w:t>/or leveraged</w:t>
      </w:r>
      <w:r>
        <w:rPr>
          <w:rFonts w:asciiTheme="majorHAnsi" w:eastAsia="Roboto Condensed" w:hAnsiTheme="majorHAnsi" w:cstheme="majorHAnsi"/>
        </w:rPr>
        <w:t xml:space="preserve"> during the shift to distance learning.  These domains are:</w:t>
      </w:r>
    </w:p>
    <w:p w:rsidR="001B37F0" w:rsidRDefault="001B37F0" w:rsidP="001B37F0">
      <w:pPr>
        <w:pStyle w:val="ListParagraph"/>
        <w:numPr>
          <w:ilvl w:val="0"/>
          <w:numId w:val="1"/>
        </w:numPr>
        <w:rPr>
          <w:rFonts w:asciiTheme="majorHAnsi" w:eastAsia="Roboto Condensed" w:hAnsiTheme="majorHAnsi" w:cstheme="majorHAnsi"/>
        </w:rPr>
      </w:pPr>
      <w:r>
        <w:rPr>
          <w:rFonts w:asciiTheme="majorHAnsi" w:eastAsia="Roboto Condensed" w:hAnsiTheme="majorHAnsi" w:cstheme="majorHAnsi"/>
        </w:rPr>
        <w:lastRenderedPageBreak/>
        <w:t>Curriculum Ingenuity &amp; Innovation</w:t>
      </w:r>
    </w:p>
    <w:p w:rsidR="001B37F0" w:rsidRDefault="001B37F0" w:rsidP="001B37F0">
      <w:pPr>
        <w:pStyle w:val="ListParagraph"/>
        <w:numPr>
          <w:ilvl w:val="0"/>
          <w:numId w:val="1"/>
        </w:numPr>
        <w:rPr>
          <w:rFonts w:asciiTheme="majorHAnsi" w:eastAsia="Roboto Condensed" w:hAnsiTheme="majorHAnsi" w:cstheme="majorHAnsi"/>
        </w:rPr>
      </w:pPr>
      <w:r>
        <w:rPr>
          <w:rFonts w:asciiTheme="majorHAnsi" w:eastAsia="Roboto Condensed" w:hAnsiTheme="majorHAnsi" w:cstheme="majorHAnsi"/>
        </w:rPr>
        <w:t>Community Engagement</w:t>
      </w:r>
    </w:p>
    <w:p w:rsidR="001B37F0" w:rsidRDefault="001B37F0" w:rsidP="001B37F0">
      <w:pPr>
        <w:pStyle w:val="ListParagraph"/>
        <w:numPr>
          <w:ilvl w:val="0"/>
          <w:numId w:val="1"/>
        </w:numPr>
        <w:rPr>
          <w:rFonts w:asciiTheme="majorHAnsi" w:eastAsia="Roboto Condensed" w:hAnsiTheme="majorHAnsi" w:cstheme="majorHAnsi"/>
        </w:rPr>
      </w:pPr>
      <w:r>
        <w:rPr>
          <w:rFonts w:asciiTheme="majorHAnsi" w:eastAsia="Roboto Condensed" w:hAnsiTheme="majorHAnsi" w:cstheme="majorHAnsi"/>
        </w:rPr>
        <w:t>Learning Progress</w:t>
      </w:r>
    </w:p>
    <w:p w:rsidR="001B37F0" w:rsidRDefault="001B37F0" w:rsidP="001B37F0">
      <w:pPr>
        <w:pStyle w:val="ListParagraph"/>
        <w:numPr>
          <w:ilvl w:val="0"/>
          <w:numId w:val="1"/>
        </w:numPr>
        <w:rPr>
          <w:rFonts w:asciiTheme="majorHAnsi" w:eastAsia="Roboto Condensed" w:hAnsiTheme="majorHAnsi" w:cstheme="majorHAnsi"/>
        </w:rPr>
      </w:pPr>
      <w:r>
        <w:rPr>
          <w:rFonts w:asciiTheme="majorHAnsi" w:eastAsia="Roboto Condensed" w:hAnsiTheme="majorHAnsi" w:cstheme="majorHAnsi"/>
        </w:rPr>
        <w:t>Leveraging Educational Technology</w:t>
      </w:r>
    </w:p>
    <w:p w:rsidR="001B37F0" w:rsidRDefault="001B37F0" w:rsidP="001B37F0">
      <w:pPr>
        <w:pStyle w:val="ListParagraph"/>
        <w:numPr>
          <w:ilvl w:val="0"/>
          <w:numId w:val="1"/>
        </w:numPr>
        <w:rPr>
          <w:rFonts w:asciiTheme="majorHAnsi" w:eastAsia="Roboto Condensed" w:hAnsiTheme="majorHAnsi" w:cstheme="majorHAnsi"/>
        </w:rPr>
      </w:pPr>
      <w:r>
        <w:rPr>
          <w:rFonts w:asciiTheme="majorHAnsi" w:eastAsia="Roboto Condensed" w:hAnsiTheme="majorHAnsi" w:cstheme="majorHAnsi"/>
        </w:rPr>
        <w:t>Pedagogy &amp; Instruction</w:t>
      </w:r>
    </w:p>
    <w:p w:rsidR="001B37F0" w:rsidRDefault="00CB33E5" w:rsidP="001B37F0">
      <w:pPr>
        <w:pStyle w:val="ListParagraph"/>
        <w:numPr>
          <w:ilvl w:val="0"/>
          <w:numId w:val="1"/>
        </w:numPr>
        <w:rPr>
          <w:rFonts w:asciiTheme="majorHAnsi" w:eastAsia="Roboto Condensed" w:hAnsiTheme="majorHAnsi" w:cstheme="majorHAnsi"/>
        </w:rPr>
      </w:pPr>
      <w:r>
        <w:rPr>
          <w:rFonts w:asciiTheme="majorHAnsi" w:eastAsia="Roboto Condensed" w:hAnsiTheme="majorHAnsi" w:cstheme="majorHAnsi"/>
        </w:rPr>
        <w:t>Social/Emotional Health &amp; Wellness</w:t>
      </w:r>
    </w:p>
    <w:p w:rsidR="00CB33E5" w:rsidRDefault="00CB33E5" w:rsidP="001B37F0">
      <w:pPr>
        <w:pStyle w:val="ListParagraph"/>
        <w:numPr>
          <w:ilvl w:val="0"/>
          <w:numId w:val="1"/>
        </w:numPr>
        <w:rPr>
          <w:rFonts w:asciiTheme="majorHAnsi" w:eastAsia="Roboto Condensed" w:hAnsiTheme="majorHAnsi" w:cstheme="majorHAnsi"/>
        </w:rPr>
      </w:pPr>
      <w:r>
        <w:rPr>
          <w:rFonts w:asciiTheme="majorHAnsi" w:eastAsia="Roboto Condensed" w:hAnsiTheme="majorHAnsi" w:cstheme="majorHAnsi"/>
        </w:rPr>
        <w:t>The Role of Professional Learning Communities</w:t>
      </w:r>
    </w:p>
    <w:p w:rsidR="00CB33E5" w:rsidRDefault="00CB33E5" w:rsidP="00CB33E5">
      <w:pPr>
        <w:rPr>
          <w:rFonts w:asciiTheme="majorHAnsi" w:eastAsia="Roboto Condensed" w:hAnsiTheme="majorHAnsi" w:cstheme="majorHAnsi"/>
        </w:rPr>
      </w:pPr>
    </w:p>
    <w:p w:rsidR="003B3D68" w:rsidRPr="007605A8" w:rsidRDefault="00CB33E5" w:rsidP="00CB33E5">
      <w:pPr>
        <w:rPr>
          <w:rFonts w:asciiTheme="majorHAnsi" w:eastAsia="Roboto Condensed" w:hAnsiTheme="majorHAnsi" w:cstheme="majorHAnsi"/>
        </w:rPr>
      </w:pPr>
      <w:r>
        <w:rPr>
          <w:rFonts w:asciiTheme="majorHAnsi" w:eastAsia="Roboto Condensed" w:hAnsiTheme="majorHAnsi" w:cstheme="majorHAnsi"/>
        </w:rPr>
        <w:t xml:space="preserve">Participants select three of the seven domains to cover during their course experience.  Within each domain the structure is the same.  Participants reflect on challenges, solutions, and new learnings that emerged as the adapted within these different </w:t>
      </w:r>
      <w:r w:rsidR="00B70387">
        <w:rPr>
          <w:rFonts w:asciiTheme="majorHAnsi" w:eastAsia="Roboto Condensed" w:hAnsiTheme="majorHAnsi" w:cstheme="majorHAnsi"/>
        </w:rPr>
        <w:t>areas</w:t>
      </w:r>
      <w:r>
        <w:rPr>
          <w:rFonts w:asciiTheme="majorHAnsi" w:eastAsia="Roboto Condensed" w:hAnsiTheme="majorHAnsi" w:cstheme="majorHAnsi"/>
        </w:rPr>
        <w:t>.</w:t>
      </w:r>
      <w:r w:rsidR="00B70387">
        <w:rPr>
          <w:rFonts w:asciiTheme="majorHAnsi" w:eastAsia="Roboto Condensed" w:hAnsiTheme="majorHAnsi" w:cstheme="majorHAnsi"/>
        </w:rPr>
        <w:br/>
      </w:r>
      <w:r w:rsidR="00B70387">
        <w:rPr>
          <w:rFonts w:asciiTheme="majorHAnsi" w:eastAsia="Roboto Condensed" w:hAnsiTheme="majorHAnsi" w:cstheme="majorHAnsi"/>
        </w:rPr>
        <w:br/>
        <w:t>Community Centers are also provided as discussion spaces related to several underlying subtopics within the field of education and this transition to distant learning.  These are not required within the course experience, but provide a space to collaborate, connect, and generate new thinking.</w:t>
      </w:r>
    </w:p>
    <w:p w:rsidR="003B3D68" w:rsidRPr="007605A8" w:rsidRDefault="003B3D68">
      <w:pPr>
        <w:rPr>
          <w:rFonts w:asciiTheme="majorHAnsi" w:eastAsia="Roboto Condensed" w:hAnsiTheme="majorHAnsi" w:cstheme="majorHAnsi"/>
          <w:b/>
          <w:sz w:val="26"/>
          <w:szCs w:val="26"/>
        </w:rPr>
      </w:pPr>
    </w:p>
    <w:p w:rsidR="003B3D68" w:rsidRPr="007605A8" w:rsidRDefault="00CA1A40">
      <w:pPr>
        <w:rPr>
          <w:rFonts w:asciiTheme="majorHAnsi" w:eastAsia="Roboto Condensed" w:hAnsiTheme="majorHAnsi" w:cstheme="majorHAnsi"/>
        </w:rPr>
      </w:pPr>
      <w:r>
        <w:rPr>
          <w:rFonts w:asciiTheme="majorHAnsi" w:hAnsiTheme="majorHAnsi" w:cstheme="majorHAnsi"/>
        </w:rPr>
        <w:pict>
          <v:rect id="_x0000_i1028" style="width:0;height:1.5pt" o:hralign="center" o:hrstd="t" o:hr="t" fillcolor="#a0a0a0" stroked="f"/>
        </w:pict>
      </w:r>
    </w:p>
    <w:p w:rsidR="003B3D68" w:rsidRPr="007605A8" w:rsidRDefault="00747908">
      <w:pPr>
        <w:rPr>
          <w:rFonts w:asciiTheme="majorHAnsi" w:eastAsia="Roboto Condensed" w:hAnsiTheme="majorHAnsi" w:cstheme="majorHAnsi"/>
          <w:b/>
          <w:sz w:val="26"/>
          <w:szCs w:val="26"/>
        </w:rPr>
      </w:pPr>
      <w:r w:rsidRPr="007605A8">
        <w:rPr>
          <w:rFonts w:asciiTheme="majorHAnsi" w:eastAsia="Roboto Condensed" w:hAnsiTheme="majorHAnsi" w:cstheme="majorHAnsi"/>
          <w:b/>
          <w:sz w:val="26"/>
          <w:szCs w:val="26"/>
        </w:rPr>
        <w:t>Assignments</w:t>
      </w:r>
    </w:p>
    <w:p w:rsidR="003B3D68" w:rsidRPr="007605A8" w:rsidRDefault="003B3D68">
      <w:pPr>
        <w:rPr>
          <w:rFonts w:asciiTheme="majorHAnsi" w:eastAsia="Roboto Condensed" w:hAnsiTheme="majorHAnsi" w:cstheme="majorHAnsi"/>
          <w:b/>
          <w:sz w:val="26"/>
          <w:szCs w:val="26"/>
        </w:rPr>
      </w:pPr>
    </w:p>
    <w:p w:rsidR="003B3D68" w:rsidRDefault="00CB33E5">
      <w:pPr>
        <w:rPr>
          <w:rFonts w:asciiTheme="majorHAnsi" w:eastAsia="Roboto Condensed" w:hAnsiTheme="majorHAnsi" w:cstheme="majorHAnsi"/>
        </w:rPr>
      </w:pPr>
      <w:r>
        <w:rPr>
          <w:rFonts w:asciiTheme="majorHAnsi" w:eastAsia="Roboto Condensed" w:hAnsiTheme="majorHAnsi" w:cstheme="majorHAnsi"/>
        </w:rPr>
        <w:t xml:space="preserve">Each domain consists of the same four assignments that will ask participants to reflect specifically to </w:t>
      </w:r>
      <w:r w:rsidR="00B70387">
        <w:rPr>
          <w:rFonts w:asciiTheme="majorHAnsi" w:eastAsia="Roboto Condensed" w:hAnsiTheme="majorHAnsi" w:cstheme="majorHAnsi"/>
        </w:rPr>
        <w:t>the domain</w:t>
      </w:r>
      <w:r>
        <w:rPr>
          <w:rFonts w:asciiTheme="majorHAnsi" w:eastAsia="Roboto Condensed" w:hAnsiTheme="majorHAnsi" w:cstheme="majorHAnsi"/>
        </w:rPr>
        <w:t xml:space="preserve"> of focus.</w:t>
      </w:r>
    </w:p>
    <w:p w:rsidR="00CB33E5" w:rsidRDefault="00CB33E5">
      <w:pPr>
        <w:rPr>
          <w:rFonts w:asciiTheme="majorHAnsi" w:eastAsia="Roboto Condensed" w:hAnsiTheme="majorHAnsi" w:cstheme="majorHAnsi"/>
        </w:rPr>
      </w:pPr>
    </w:p>
    <w:p w:rsidR="00CB33E5" w:rsidRDefault="00CB33E5">
      <w:pPr>
        <w:rPr>
          <w:rFonts w:asciiTheme="majorHAnsi" w:eastAsia="Roboto Condensed" w:hAnsiTheme="majorHAnsi" w:cstheme="majorHAnsi"/>
        </w:rPr>
      </w:pPr>
      <w:r>
        <w:rPr>
          <w:rFonts w:asciiTheme="majorHAnsi" w:eastAsia="Roboto Condensed" w:hAnsiTheme="majorHAnsi" w:cstheme="majorHAnsi"/>
        </w:rPr>
        <w:t>The four reflective activities are described below:</w:t>
      </w:r>
    </w:p>
    <w:p w:rsidR="00CB33E5" w:rsidRDefault="00CB33E5">
      <w:pPr>
        <w:rPr>
          <w:rFonts w:asciiTheme="majorHAnsi" w:eastAsia="Roboto Condensed" w:hAnsiTheme="majorHAnsi" w:cstheme="majorHAnsi"/>
        </w:rPr>
      </w:pPr>
    </w:p>
    <w:p w:rsidR="00CB33E5" w:rsidRDefault="00CB33E5" w:rsidP="00CB33E5">
      <w:pPr>
        <w:pStyle w:val="ListParagraph"/>
        <w:numPr>
          <w:ilvl w:val="0"/>
          <w:numId w:val="2"/>
        </w:numPr>
        <w:rPr>
          <w:rFonts w:asciiTheme="majorHAnsi" w:eastAsia="Roboto Condensed" w:hAnsiTheme="majorHAnsi" w:cstheme="majorHAnsi"/>
        </w:rPr>
      </w:pPr>
      <w:r>
        <w:rPr>
          <w:rFonts w:asciiTheme="majorHAnsi" w:eastAsia="Roboto Condensed" w:hAnsiTheme="majorHAnsi" w:cstheme="majorHAnsi"/>
          <w:b/>
        </w:rPr>
        <w:t>Reflection 1: New Approaches</w:t>
      </w:r>
      <w:proofErr w:type="gramStart"/>
      <w:r>
        <w:rPr>
          <w:rFonts w:asciiTheme="majorHAnsi" w:eastAsia="Roboto Condensed" w:hAnsiTheme="majorHAnsi" w:cstheme="majorHAnsi"/>
          <w:b/>
        </w:rPr>
        <w:t>:</w:t>
      </w:r>
      <w:proofErr w:type="gramEnd"/>
      <w:r>
        <w:rPr>
          <w:rFonts w:asciiTheme="majorHAnsi" w:eastAsia="Roboto Condensed" w:hAnsiTheme="majorHAnsi" w:cstheme="majorHAnsi"/>
          <w:b/>
        </w:rPr>
        <w:br/>
      </w:r>
      <w:r w:rsidR="00CA1A40">
        <w:rPr>
          <w:rFonts w:asciiTheme="majorHAnsi" w:eastAsia="Roboto Condensed" w:hAnsiTheme="majorHAnsi" w:cstheme="majorHAnsi"/>
        </w:rPr>
        <w:t>This reflection will ask you to brainstorm all of the new approaches, resources, strategies, collaborations, and technologies you utilized during this transition.  This reflection will prepare you for the final three reflections.</w:t>
      </w:r>
      <w:bookmarkStart w:id="0" w:name="_GoBack"/>
      <w:bookmarkEnd w:id="0"/>
      <w:r>
        <w:rPr>
          <w:rFonts w:asciiTheme="majorHAnsi" w:eastAsia="Roboto Condensed" w:hAnsiTheme="majorHAnsi" w:cstheme="majorHAnsi"/>
        </w:rPr>
        <w:br/>
      </w:r>
    </w:p>
    <w:p w:rsidR="00CB33E5" w:rsidRPr="00CB33E5" w:rsidRDefault="00CB33E5" w:rsidP="00CB33E5">
      <w:pPr>
        <w:pStyle w:val="ListParagraph"/>
        <w:numPr>
          <w:ilvl w:val="0"/>
          <w:numId w:val="2"/>
        </w:numPr>
        <w:rPr>
          <w:rFonts w:asciiTheme="majorHAnsi" w:eastAsia="Roboto Condensed" w:hAnsiTheme="majorHAnsi" w:cstheme="majorHAnsi"/>
        </w:rPr>
      </w:pPr>
      <w:r>
        <w:rPr>
          <w:rFonts w:asciiTheme="majorHAnsi" w:eastAsia="Roboto Condensed" w:hAnsiTheme="majorHAnsi" w:cstheme="majorHAnsi"/>
          <w:b/>
        </w:rPr>
        <w:t>Reflection 2: Learnings</w:t>
      </w:r>
      <w:proofErr w:type="gramStart"/>
      <w:r>
        <w:rPr>
          <w:rFonts w:asciiTheme="majorHAnsi" w:eastAsia="Roboto Condensed" w:hAnsiTheme="majorHAnsi" w:cstheme="majorHAnsi"/>
          <w:b/>
        </w:rPr>
        <w:t>:</w:t>
      </w:r>
      <w:proofErr w:type="gramEnd"/>
      <w:r>
        <w:rPr>
          <w:rFonts w:asciiTheme="majorHAnsi" w:eastAsia="Roboto Condensed" w:hAnsiTheme="majorHAnsi" w:cstheme="majorHAnsi"/>
          <w:b/>
        </w:rPr>
        <w:br/>
      </w:r>
      <w:r w:rsidRPr="00CB33E5">
        <w:rPr>
          <w:rFonts w:asciiTheme="majorHAnsi" w:eastAsia="Roboto Condensed" w:hAnsiTheme="majorHAnsi" w:cstheme="majorHAnsi"/>
        </w:rPr>
        <w:t>Provide a description of the learnings that emerged with regard to this specific area. This may include new insights you had, new understandings of people, systems, policies, and/or processes, as well as “lessons learned” from your experiences.</w:t>
      </w:r>
      <w:r>
        <w:rPr>
          <w:rFonts w:asciiTheme="majorHAnsi" w:eastAsia="Roboto Condensed" w:hAnsiTheme="majorHAnsi" w:cstheme="majorHAnsi"/>
        </w:rPr>
        <w:br/>
      </w:r>
    </w:p>
    <w:p w:rsidR="00CB33E5" w:rsidRDefault="00CB33E5" w:rsidP="00CB33E5">
      <w:pPr>
        <w:pStyle w:val="ListParagraph"/>
        <w:numPr>
          <w:ilvl w:val="0"/>
          <w:numId w:val="2"/>
        </w:numPr>
        <w:rPr>
          <w:rFonts w:asciiTheme="majorHAnsi" w:eastAsia="Roboto Condensed" w:hAnsiTheme="majorHAnsi" w:cstheme="majorHAnsi"/>
        </w:rPr>
      </w:pPr>
      <w:r>
        <w:rPr>
          <w:rFonts w:asciiTheme="majorHAnsi" w:eastAsia="Roboto Condensed" w:hAnsiTheme="majorHAnsi" w:cstheme="majorHAnsi"/>
          <w:b/>
        </w:rPr>
        <w:t>Reflection 3: Personal Reflection</w:t>
      </w:r>
      <w:proofErr w:type="gramStart"/>
      <w:r>
        <w:rPr>
          <w:rFonts w:asciiTheme="majorHAnsi" w:eastAsia="Roboto Condensed" w:hAnsiTheme="majorHAnsi" w:cstheme="majorHAnsi"/>
          <w:b/>
        </w:rPr>
        <w:t>:</w:t>
      </w:r>
      <w:proofErr w:type="gramEnd"/>
      <w:r>
        <w:rPr>
          <w:rFonts w:asciiTheme="majorHAnsi" w:eastAsia="Roboto Condensed" w:hAnsiTheme="majorHAnsi" w:cstheme="majorHAnsi"/>
          <w:b/>
        </w:rPr>
        <w:br/>
      </w:r>
      <w:r w:rsidRPr="00CB33E5">
        <w:rPr>
          <w:rFonts w:asciiTheme="majorHAnsi" w:eastAsia="Roboto Condensed" w:hAnsiTheme="majorHAnsi" w:cstheme="majorHAnsi"/>
        </w:rPr>
        <w:t>What did you learn about yourself as a professional educator with regard to this area? Which of your strengths were pivotal to your success? What areas of opportunity emerged? How has this experienced shaped or altered your sense of identity as an educator?</w:t>
      </w:r>
      <w:r>
        <w:rPr>
          <w:rFonts w:asciiTheme="majorHAnsi" w:eastAsia="Roboto Condensed" w:hAnsiTheme="majorHAnsi" w:cstheme="majorHAnsi"/>
        </w:rPr>
        <w:br/>
      </w:r>
    </w:p>
    <w:p w:rsidR="003B3D68" w:rsidRPr="00CB33E5" w:rsidRDefault="00CB33E5" w:rsidP="006309F6">
      <w:pPr>
        <w:pStyle w:val="ListParagraph"/>
        <w:numPr>
          <w:ilvl w:val="0"/>
          <w:numId w:val="2"/>
        </w:numPr>
        <w:rPr>
          <w:rFonts w:asciiTheme="majorHAnsi" w:eastAsia="Roboto Condensed" w:hAnsiTheme="majorHAnsi" w:cstheme="majorHAnsi"/>
        </w:rPr>
      </w:pPr>
      <w:r w:rsidRPr="00CB33E5">
        <w:rPr>
          <w:rFonts w:asciiTheme="majorHAnsi" w:eastAsia="Roboto Condensed" w:hAnsiTheme="majorHAnsi" w:cstheme="majorHAnsi"/>
          <w:b/>
        </w:rPr>
        <w:t>Reflection 4:</w:t>
      </w:r>
      <w:r w:rsidRPr="00CB33E5">
        <w:rPr>
          <w:rFonts w:asciiTheme="majorHAnsi" w:eastAsia="Roboto Condensed" w:hAnsiTheme="majorHAnsi" w:cstheme="majorHAnsi"/>
        </w:rPr>
        <w:t xml:space="preserve"> </w:t>
      </w:r>
      <w:r w:rsidRPr="00CB33E5">
        <w:rPr>
          <w:rFonts w:asciiTheme="majorHAnsi" w:eastAsia="Roboto Condensed" w:hAnsiTheme="majorHAnsi" w:cstheme="majorHAnsi"/>
          <w:b/>
        </w:rPr>
        <w:t>Integration into Professional Practice</w:t>
      </w:r>
      <w:r w:rsidRPr="00CB33E5">
        <w:rPr>
          <w:rFonts w:asciiTheme="majorHAnsi" w:eastAsia="Roboto Condensed" w:hAnsiTheme="majorHAnsi" w:cstheme="majorHAnsi"/>
          <w:b/>
        </w:rPr>
        <w:br/>
      </w:r>
      <w:r w:rsidRPr="00CB33E5">
        <w:rPr>
          <w:rFonts w:asciiTheme="majorHAnsi" w:eastAsia="Roboto Condensed" w:hAnsiTheme="majorHAnsi" w:cstheme="majorHAnsi"/>
        </w:rPr>
        <w:t>How will you integrate your new experiences, knowledge, and understanding into your future professional practice? What will you do differently?</w:t>
      </w:r>
    </w:p>
    <w:p w:rsidR="003B3D68" w:rsidRDefault="003B3D68">
      <w:pPr>
        <w:rPr>
          <w:rFonts w:asciiTheme="majorHAnsi" w:eastAsia="Roboto Condensed" w:hAnsiTheme="majorHAnsi" w:cstheme="majorHAnsi"/>
        </w:rPr>
      </w:pPr>
    </w:p>
    <w:p w:rsidR="00B70387" w:rsidRDefault="00B70387">
      <w:pPr>
        <w:rPr>
          <w:rFonts w:asciiTheme="majorHAnsi" w:eastAsia="Roboto Condensed" w:hAnsiTheme="majorHAnsi" w:cstheme="majorHAnsi"/>
        </w:rPr>
      </w:pPr>
    </w:p>
    <w:p w:rsidR="00B70387" w:rsidRPr="007605A8" w:rsidRDefault="00B70387">
      <w:pPr>
        <w:rPr>
          <w:rFonts w:asciiTheme="majorHAnsi" w:eastAsia="Roboto Condensed" w:hAnsiTheme="majorHAnsi" w:cstheme="majorHAnsi"/>
        </w:rPr>
      </w:pPr>
    </w:p>
    <w:p w:rsidR="003B3D68" w:rsidRPr="007605A8" w:rsidRDefault="00CA1A40">
      <w:pPr>
        <w:rPr>
          <w:rFonts w:asciiTheme="majorHAnsi" w:eastAsia="Roboto Condensed" w:hAnsiTheme="majorHAnsi" w:cstheme="majorHAnsi"/>
        </w:rPr>
      </w:pPr>
      <w:r>
        <w:rPr>
          <w:rFonts w:asciiTheme="majorHAnsi" w:hAnsiTheme="majorHAnsi" w:cstheme="majorHAnsi"/>
        </w:rPr>
        <w:pict>
          <v:rect id="_x0000_i1029" style="width:0;height:1.5pt" o:hralign="center" o:hrstd="t" o:hr="t" fillcolor="#a0a0a0" stroked="f"/>
        </w:pict>
      </w:r>
    </w:p>
    <w:p w:rsidR="003B3D68" w:rsidRPr="007605A8" w:rsidRDefault="00747908">
      <w:pPr>
        <w:rPr>
          <w:rFonts w:asciiTheme="majorHAnsi" w:eastAsia="Roboto Condensed" w:hAnsiTheme="majorHAnsi" w:cstheme="majorHAnsi"/>
          <w:b/>
          <w:sz w:val="26"/>
          <w:szCs w:val="26"/>
        </w:rPr>
      </w:pPr>
      <w:r w:rsidRPr="007605A8">
        <w:rPr>
          <w:rFonts w:asciiTheme="majorHAnsi" w:eastAsia="Roboto Condensed" w:hAnsiTheme="majorHAnsi" w:cstheme="majorHAnsi"/>
          <w:b/>
          <w:sz w:val="26"/>
          <w:szCs w:val="26"/>
        </w:rPr>
        <w:t>Evaluation/Grading:</w:t>
      </w:r>
    </w:p>
    <w:p w:rsidR="003B3D68" w:rsidRDefault="003B3D68">
      <w:pPr>
        <w:rPr>
          <w:rFonts w:asciiTheme="majorHAnsi" w:eastAsia="Roboto Condensed" w:hAnsiTheme="majorHAnsi" w:cstheme="majorHAnsi"/>
        </w:rPr>
      </w:pPr>
    </w:p>
    <w:p w:rsidR="003B3D68" w:rsidRPr="007605A8" w:rsidRDefault="00CB33E5">
      <w:pPr>
        <w:rPr>
          <w:rFonts w:asciiTheme="majorHAnsi" w:eastAsia="Roboto Condensed" w:hAnsiTheme="majorHAnsi" w:cstheme="majorHAnsi"/>
        </w:rPr>
      </w:pPr>
      <w:r>
        <w:rPr>
          <w:rFonts w:asciiTheme="majorHAnsi" w:eastAsia="Roboto Condensed" w:hAnsiTheme="majorHAnsi" w:cstheme="majorHAnsi"/>
        </w:rPr>
        <w:t>Students will be evaluated on each reflection based on provided criteria</w:t>
      </w:r>
      <w:r w:rsidR="00B70387">
        <w:rPr>
          <w:rFonts w:asciiTheme="majorHAnsi" w:eastAsia="Roboto Condensed" w:hAnsiTheme="majorHAnsi" w:cstheme="majorHAnsi"/>
        </w:rPr>
        <w:t xml:space="preserve"> within the online learning system</w:t>
      </w:r>
      <w:r>
        <w:rPr>
          <w:rFonts w:asciiTheme="majorHAnsi" w:eastAsia="Roboto Condensed" w:hAnsiTheme="majorHAnsi" w:cstheme="majorHAnsi"/>
        </w:rPr>
        <w:t xml:space="preserve">.  A participant must complete 12 </w:t>
      </w:r>
      <w:r w:rsidR="00B70387">
        <w:rPr>
          <w:rFonts w:asciiTheme="majorHAnsi" w:eastAsia="Roboto Condensed" w:hAnsiTheme="majorHAnsi" w:cstheme="majorHAnsi"/>
        </w:rPr>
        <w:t xml:space="preserve">total </w:t>
      </w:r>
      <w:r>
        <w:rPr>
          <w:rFonts w:asciiTheme="majorHAnsi" w:eastAsia="Roboto Condensed" w:hAnsiTheme="majorHAnsi" w:cstheme="majorHAnsi"/>
        </w:rPr>
        <w:t xml:space="preserve">reflections; four reflections in each of the three domains selected. </w:t>
      </w:r>
    </w:p>
    <w:p w:rsidR="00CB33E5" w:rsidRDefault="00CB33E5">
      <w:pPr>
        <w:rPr>
          <w:rFonts w:asciiTheme="majorHAnsi" w:eastAsia="Roboto Condensed" w:hAnsiTheme="majorHAnsi" w:cstheme="majorHAnsi"/>
        </w:rPr>
      </w:pPr>
    </w:p>
    <w:p w:rsidR="003B3D68" w:rsidRPr="007605A8" w:rsidRDefault="00747908">
      <w:pPr>
        <w:rPr>
          <w:rFonts w:asciiTheme="majorHAnsi" w:eastAsia="Roboto Condensed" w:hAnsiTheme="majorHAnsi" w:cstheme="majorHAnsi"/>
        </w:rPr>
      </w:pPr>
      <w:r w:rsidRPr="007605A8">
        <w:rPr>
          <w:rFonts w:asciiTheme="majorHAnsi" w:eastAsia="Roboto Condensed" w:hAnsiTheme="majorHAnsi" w:cstheme="majorHAnsi"/>
        </w:rPr>
        <w:t>SNHU adheres to the following graduate-level grading scale:</w:t>
      </w:r>
    </w:p>
    <w:p w:rsidR="003B3D68" w:rsidRPr="007605A8" w:rsidRDefault="003B3D68">
      <w:pPr>
        <w:rPr>
          <w:rFonts w:asciiTheme="majorHAnsi" w:eastAsia="Roboto Condensed" w:hAnsiTheme="majorHAnsi" w:cstheme="majorHAnsi"/>
        </w:rPr>
      </w:pPr>
    </w:p>
    <w:tbl>
      <w:tblPr>
        <w:tblStyle w:val="a"/>
        <w:tblW w:w="3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2490"/>
      </w:tblGrid>
      <w:tr w:rsidR="003B3D68" w:rsidRPr="007605A8">
        <w:tc>
          <w:tcPr>
            <w:tcW w:w="930" w:type="dxa"/>
          </w:tcPr>
          <w:p w:rsidR="003B3D68" w:rsidRPr="007605A8" w:rsidRDefault="00747908">
            <w:pPr>
              <w:spacing w:line="240" w:lineRule="auto"/>
              <w:jc w:val="center"/>
              <w:rPr>
                <w:rFonts w:asciiTheme="majorHAnsi" w:eastAsia="Roboto Condensed" w:hAnsiTheme="majorHAnsi" w:cstheme="majorHAnsi"/>
                <w:b/>
              </w:rPr>
            </w:pPr>
            <w:r w:rsidRPr="007605A8">
              <w:rPr>
                <w:rFonts w:asciiTheme="majorHAnsi" w:eastAsia="Roboto Condensed" w:hAnsiTheme="majorHAnsi" w:cstheme="majorHAnsi"/>
                <w:b/>
              </w:rPr>
              <w:t>GRADE</w:t>
            </w:r>
          </w:p>
        </w:tc>
        <w:tc>
          <w:tcPr>
            <w:tcW w:w="2490" w:type="dxa"/>
          </w:tcPr>
          <w:p w:rsidR="003B3D68" w:rsidRPr="007605A8" w:rsidRDefault="00747908">
            <w:pPr>
              <w:spacing w:line="240" w:lineRule="auto"/>
              <w:jc w:val="center"/>
              <w:rPr>
                <w:rFonts w:asciiTheme="majorHAnsi" w:eastAsia="Roboto Condensed" w:hAnsiTheme="majorHAnsi" w:cstheme="majorHAnsi"/>
                <w:b/>
              </w:rPr>
            </w:pPr>
            <w:r w:rsidRPr="007605A8">
              <w:rPr>
                <w:rFonts w:asciiTheme="majorHAnsi" w:eastAsia="Roboto Condensed" w:hAnsiTheme="majorHAnsi" w:cstheme="majorHAnsi"/>
                <w:b/>
              </w:rPr>
              <w:t>Numerical Equivalent</w:t>
            </w:r>
          </w:p>
        </w:tc>
      </w:tr>
      <w:tr w:rsidR="003B3D68" w:rsidRPr="007605A8">
        <w:tc>
          <w:tcPr>
            <w:tcW w:w="93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A</w:t>
            </w:r>
          </w:p>
        </w:tc>
        <w:tc>
          <w:tcPr>
            <w:tcW w:w="249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93-100</w:t>
            </w:r>
          </w:p>
        </w:tc>
      </w:tr>
      <w:tr w:rsidR="003B3D68" w:rsidRPr="007605A8">
        <w:tc>
          <w:tcPr>
            <w:tcW w:w="93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A-</w:t>
            </w:r>
          </w:p>
        </w:tc>
        <w:tc>
          <w:tcPr>
            <w:tcW w:w="249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90-92</w:t>
            </w:r>
          </w:p>
        </w:tc>
      </w:tr>
      <w:tr w:rsidR="003B3D68" w:rsidRPr="007605A8">
        <w:tc>
          <w:tcPr>
            <w:tcW w:w="93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B+</w:t>
            </w:r>
          </w:p>
        </w:tc>
        <w:tc>
          <w:tcPr>
            <w:tcW w:w="249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87-89</w:t>
            </w:r>
          </w:p>
        </w:tc>
      </w:tr>
      <w:tr w:rsidR="003B3D68" w:rsidRPr="007605A8">
        <w:tc>
          <w:tcPr>
            <w:tcW w:w="93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B</w:t>
            </w:r>
          </w:p>
        </w:tc>
        <w:tc>
          <w:tcPr>
            <w:tcW w:w="249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83-86</w:t>
            </w:r>
          </w:p>
        </w:tc>
      </w:tr>
      <w:tr w:rsidR="003B3D68" w:rsidRPr="007605A8">
        <w:tc>
          <w:tcPr>
            <w:tcW w:w="93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B-</w:t>
            </w:r>
          </w:p>
        </w:tc>
        <w:tc>
          <w:tcPr>
            <w:tcW w:w="249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80-82</w:t>
            </w:r>
          </w:p>
        </w:tc>
      </w:tr>
      <w:tr w:rsidR="003B3D68" w:rsidRPr="007605A8">
        <w:tc>
          <w:tcPr>
            <w:tcW w:w="93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C+</w:t>
            </w:r>
          </w:p>
        </w:tc>
        <w:tc>
          <w:tcPr>
            <w:tcW w:w="249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77-79</w:t>
            </w:r>
          </w:p>
        </w:tc>
      </w:tr>
      <w:tr w:rsidR="003B3D68" w:rsidRPr="007605A8">
        <w:tc>
          <w:tcPr>
            <w:tcW w:w="93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C</w:t>
            </w:r>
          </w:p>
        </w:tc>
        <w:tc>
          <w:tcPr>
            <w:tcW w:w="249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73-76</w:t>
            </w:r>
          </w:p>
        </w:tc>
      </w:tr>
      <w:tr w:rsidR="003B3D68" w:rsidRPr="007605A8">
        <w:tc>
          <w:tcPr>
            <w:tcW w:w="93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F</w:t>
            </w:r>
          </w:p>
        </w:tc>
        <w:tc>
          <w:tcPr>
            <w:tcW w:w="2490" w:type="dxa"/>
          </w:tcPr>
          <w:p w:rsidR="003B3D68" w:rsidRPr="007605A8" w:rsidRDefault="00747908">
            <w:pPr>
              <w:spacing w:line="240" w:lineRule="auto"/>
              <w:rPr>
                <w:rFonts w:asciiTheme="majorHAnsi" w:eastAsia="Roboto Condensed" w:hAnsiTheme="majorHAnsi" w:cstheme="majorHAnsi"/>
              </w:rPr>
            </w:pPr>
            <w:r w:rsidRPr="007605A8">
              <w:rPr>
                <w:rFonts w:asciiTheme="majorHAnsi" w:eastAsia="Roboto Condensed" w:hAnsiTheme="majorHAnsi" w:cstheme="majorHAnsi"/>
              </w:rPr>
              <w:t>0-72</w:t>
            </w:r>
          </w:p>
        </w:tc>
      </w:tr>
    </w:tbl>
    <w:p w:rsidR="003B3D68" w:rsidRPr="007605A8" w:rsidRDefault="003B3D68">
      <w:pPr>
        <w:rPr>
          <w:rFonts w:asciiTheme="majorHAnsi" w:eastAsia="Roboto Condensed" w:hAnsiTheme="majorHAnsi" w:cstheme="majorHAnsi"/>
        </w:rPr>
      </w:pPr>
    </w:p>
    <w:p w:rsidR="003B3D68" w:rsidRPr="007605A8" w:rsidRDefault="00747908">
      <w:pPr>
        <w:spacing w:before="240" w:after="240"/>
        <w:jc w:val="center"/>
        <w:rPr>
          <w:rFonts w:asciiTheme="majorHAnsi" w:eastAsia="Roboto Condensed" w:hAnsiTheme="majorHAnsi" w:cstheme="majorHAnsi"/>
          <w:b/>
          <w:sz w:val="28"/>
          <w:szCs w:val="28"/>
          <w:u w:val="single"/>
        </w:rPr>
      </w:pPr>
      <w:r w:rsidRPr="007605A8">
        <w:rPr>
          <w:rFonts w:asciiTheme="majorHAnsi" w:eastAsia="Roboto Condensed" w:hAnsiTheme="majorHAnsi" w:cstheme="majorHAnsi"/>
          <w:b/>
          <w:sz w:val="28"/>
          <w:szCs w:val="28"/>
          <w:u w:val="single"/>
        </w:rPr>
        <w:t>Academic Policies</w:t>
      </w:r>
    </w:p>
    <w:p w:rsidR="003B3D68" w:rsidRPr="007605A8" w:rsidRDefault="00747908">
      <w:pPr>
        <w:spacing w:before="240" w:after="240" w:line="256" w:lineRule="auto"/>
        <w:rPr>
          <w:rFonts w:asciiTheme="majorHAnsi" w:eastAsia="Roboto Condensed" w:hAnsiTheme="majorHAnsi" w:cstheme="majorHAnsi"/>
          <w:sz w:val="20"/>
          <w:szCs w:val="20"/>
        </w:rPr>
      </w:pPr>
      <w:r w:rsidRPr="007605A8">
        <w:rPr>
          <w:rFonts w:asciiTheme="majorHAnsi" w:eastAsia="Roboto Condensed" w:hAnsiTheme="majorHAnsi" w:cstheme="majorHAnsi"/>
          <w:b/>
          <w:sz w:val="20"/>
          <w:szCs w:val="20"/>
          <w:u w:val="single"/>
        </w:rPr>
        <w:t>ADA/504 Compliance Statement</w:t>
      </w:r>
      <w:r w:rsidRPr="007605A8">
        <w:rPr>
          <w:rFonts w:asciiTheme="majorHAnsi" w:eastAsia="Roboto Condensed" w:hAnsiTheme="majorHAnsi" w:cstheme="majorHAnsi"/>
          <w:b/>
          <w:sz w:val="20"/>
          <w:szCs w:val="20"/>
        </w:rPr>
        <w:t xml:space="preserve">: </w:t>
      </w:r>
      <w:r w:rsidRPr="007605A8">
        <w:rPr>
          <w:rFonts w:asciiTheme="majorHAnsi" w:eastAsia="Roboto Condensed" w:hAnsiTheme="majorHAnsi" w:cstheme="majorHAnsi"/>
          <w:sz w:val="20"/>
          <w:szCs w:val="20"/>
        </w:rPr>
        <w:t xml:space="preserve">Southern New Hampshire University is dedicated to providing equal access to individuals with disabilities, including intellectual disability, in accordance with Section 504 of the Rehabilitation Act of 1973, Title III of the Americans with Disabilities Act (ADA) of 1990, and the Americans with Disabilities Act Amendments Act of 2008. The University prohibits unlawful discrimination on the basis of disability and takes action to prevent such discrimination by providing reasonable accommodations to eligible individuals with disabilities. </w:t>
      </w:r>
    </w:p>
    <w:p w:rsidR="003B3D68" w:rsidRPr="007605A8" w:rsidRDefault="003B3D68">
      <w:pPr>
        <w:spacing w:before="240" w:after="240" w:line="256" w:lineRule="auto"/>
        <w:rPr>
          <w:rFonts w:asciiTheme="majorHAnsi" w:eastAsia="Roboto Condensed" w:hAnsiTheme="majorHAnsi" w:cstheme="majorHAnsi"/>
          <w:sz w:val="20"/>
          <w:szCs w:val="20"/>
        </w:rPr>
      </w:pPr>
    </w:p>
    <w:p w:rsidR="003B3D68" w:rsidRPr="007605A8" w:rsidRDefault="00747908">
      <w:pPr>
        <w:spacing w:before="240" w:after="240"/>
        <w:rPr>
          <w:rFonts w:asciiTheme="majorHAnsi" w:eastAsia="Roboto Condensed" w:hAnsiTheme="majorHAnsi" w:cstheme="majorHAnsi"/>
          <w:sz w:val="20"/>
          <w:szCs w:val="20"/>
        </w:rPr>
      </w:pPr>
      <w:r w:rsidRPr="007605A8">
        <w:rPr>
          <w:rFonts w:asciiTheme="majorHAnsi" w:eastAsia="Roboto Condensed" w:hAnsiTheme="majorHAnsi" w:cstheme="majorHAnsi"/>
          <w:sz w:val="20"/>
          <w:szCs w:val="20"/>
        </w:rPr>
        <w:t>At the beginning of each term, or as soon as you become aware of a disability, we encourage you to contact the Campus Accessibility Center (CAC) to discuss accommodations for which you may be qualified. Reasonable accommodations are established through an interactive process between the student and the CAC.  Please note that accommodations are not retroactive and that disability accommodations are not provided until acceptable documentation of disability and its impact is received and an accommodation letter has been processed.</w:t>
      </w:r>
    </w:p>
    <w:p w:rsidR="003B3D68" w:rsidRPr="007605A8" w:rsidRDefault="00747908">
      <w:pPr>
        <w:spacing w:before="240" w:after="240"/>
        <w:rPr>
          <w:rFonts w:asciiTheme="majorHAnsi" w:eastAsia="Roboto Condensed" w:hAnsiTheme="majorHAnsi" w:cstheme="majorHAnsi"/>
          <w:b/>
          <w:color w:val="1155CC"/>
          <w:sz w:val="20"/>
          <w:szCs w:val="20"/>
          <w:u w:val="single"/>
        </w:rPr>
      </w:pPr>
      <w:r w:rsidRPr="007605A8">
        <w:rPr>
          <w:rFonts w:asciiTheme="majorHAnsi" w:eastAsia="Roboto Condensed" w:hAnsiTheme="majorHAnsi" w:cstheme="majorHAnsi"/>
          <w:b/>
          <w:sz w:val="20"/>
          <w:szCs w:val="20"/>
        </w:rPr>
        <w:t xml:space="preserve">For questions concerning support services, documentation guidelines, or general disability issues, please visit the Campus Accessibility Center’s webpage: </w:t>
      </w:r>
      <w:hyperlink r:id="rId6">
        <w:r w:rsidRPr="007605A8">
          <w:rPr>
            <w:rFonts w:asciiTheme="majorHAnsi" w:eastAsia="Roboto Condensed" w:hAnsiTheme="majorHAnsi" w:cstheme="majorHAnsi"/>
            <w:b/>
            <w:color w:val="1155CC"/>
            <w:sz w:val="20"/>
            <w:szCs w:val="20"/>
            <w:u w:val="single"/>
          </w:rPr>
          <w:t>https://my.snhu.edu/Offices/DisaBilityServices/Pages/default.aspx</w:t>
        </w:r>
      </w:hyperlink>
    </w:p>
    <w:p w:rsidR="003B3D68" w:rsidRPr="007605A8" w:rsidRDefault="00747908" w:rsidP="00B70387">
      <w:pPr>
        <w:spacing w:before="240" w:after="240" w:line="256" w:lineRule="auto"/>
        <w:rPr>
          <w:rFonts w:asciiTheme="majorHAnsi" w:eastAsia="Roboto Condensed" w:hAnsiTheme="majorHAnsi" w:cstheme="majorHAnsi"/>
          <w:sz w:val="20"/>
          <w:szCs w:val="20"/>
        </w:rPr>
      </w:pPr>
      <w:r w:rsidRPr="007605A8">
        <w:rPr>
          <w:rFonts w:asciiTheme="majorHAnsi" w:eastAsia="Roboto Condensed" w:hAnsiTheme="majorHAnsi" w:cstheme="majorHAnsi"/>
          <w:sz w:val="20"/>
          <w:szCs w:val="20"/>
        </w:rPr>
        <w:lastRenderedPageBreak/>
        <w:t>Campus Accessibility Services</w:t>
      </w:r>
      <w:proofErr w:type="gramStart"/>
      <w:r w:rsidRPr="007605A8">
        <w:rPr>
          <w:rFonts w:asciiTheme="majorHAnsi" w:eastAsia="Roboto Condensed" w:hAnsiTheme="majorHAnsi" w:cstheme="majorHAnsi"/>
          <w:sz w:val="20"/>
          <w:szCs w:val="20"/>
        </w:rPr>
        <w:t>,</w:t>
      </w:r>
      <w:proofErr w:type="gramEnd"/>
      <w:r w:rsidRPr="007605A8">
        <w:rPr>
          <w:rFonts w:asciiTheme="majorHAnsi" w:eastAsia="Roboto Condensed" w:hAnsiTheme="majorHAnsi" w:cstheme="majorHAnsi"/>
          <w:sz w:val="20"/>
          <w:szCs w:val="20"/>
        </w:rPr>
        <w:br/>
        <w:t>Green Center for Student Success, Suite 120</w:t>
      </w:r>
      <w:r w:rsidR="00B70387">
        <w:rPr>
          <w:rFonts w:asciiTheme="majorHAnsi" w:eastAsia="Roboto Condensed" w:hAnsiTheme="majorHAnsi" w:cstheme="majorHAnsi"/>
          <w:sz w:val="20"/>
          <w:szCs w:val="20"/>
        </w:rPr>
        <w:br/>
      </w:r>
      <w:r w:rsidRPr="007605A8">
        <w:rPr>
          <w:rFonts w:asciiTheme="majorHAnsi" w:eastAsia="Roboto Condensed" w:hAnsiTheme="majorHAnsi" w:cstheme="majorHAnsi"/>
          <w:sz w:val="20"/>
          <w:szCs w:val="20"/>
        </w:rPr>
        <w:t xml:space="preserve">603.644.3118    </w:t>
      </w:r>
      <w:r w:rsidR="00B70387">
        <w:rPr>
          <w:rFonts w:asciiTheme="majorHAnsi" w:eastAsia="Roboto Condensed" w:hAnsiTheme="majorHAnsi" w:cstheme="majorHAnsi"/>
          <w:sz w:val="20"/>
          <w:szCs w:val="20"/>
        </w:rPr>
        <w:br/>
      </w:r>
      <w:r w:rsidRPr="007605A8">
        <w:rPr>
          <w:rFonts w:asciiTheme="majorHAnsi" w:eastAsia="Roboto Condensed" w:hAnsiTheme="majorHAnsi" w:cstheme="majorHAnsi"/>
          <w:sz w:val="20"/>
          <w:szCs w:val="20"/>
        </w:rPr>
        <w:t>cac@snhu.edu</w:t>
      </w:r>
    </w:p>
    <w:p w:rsidR="003B3D68" w:rsidRPr="007605A8" w:rsidRDefault="00747908">
      <w:pPr>
        <w:spacing w:before="240" w:after="240"/>
        <w:rPr>
          <w:rFonts w:asciiTheme="majorHAnsi" w:eastAsia="Roboto Condensed" w:hAnsiTheme="majorHAnsi" w:cstheme="majorHAnsi"/>
          <w:sz w:val="20"/>
          <w:szCs w:val="20"/>
        </w:rPr>
      </w:pPr>
      <w:r w:rsidRPr="007605A8">
        <w:rPr>
          <w:rFonts w:asciiTheme="majorHAnsi" w:eastAsia="Roboto Condensed" w:hAnsiTheme="majorHAnsi" w:cstheme="majorHAnsi"/>
          <w:sz w:val="20"/>
          <w:szCs w:val="20"/>
        </w:rPr>
        <w:t>If you feel you have been denied appropriate disability related accommodations, including appropriate auxiliary aids and services, you may file a grievance in the ADA/504 Grievance</w:t>
      </w:r>
      <w:hyperlink r:id="rId7" w:anchor="/policy/BkS-R24qW?bc=true&amp;bcCurrent=ADA%2F504%20Grievances&amp;bcItemType=policies">
        <w:r w:rsidRPr="007605A8">
          <w:rPr>
            <w:rFonts w:asciiTheme="majorHAnsi" w:eastAsia="Roboto Condensed" w:hAnsiTheme="majorHAnsi" w:cstheme="majorHAnsi"/>
            <w:sz w:val="20"/>
            <w:szCs w:val="20"/>
          </w:rPr>
          <w:t xml:space="preserve"> </w:t>
        </w:r>
      </w:hyperlink>
      <w:hyperlink r:id="rId8" w:anchor="/policy/BkS-R24qW?bc=true&amp;bcCurrent=ADA%2F504%20Grievances&amp;bcItemType=policies">
        <w:r w:rsidRPr="007605A8">
          <w:rPr>
            <w:rFonts w:asciiTheme="majorHAnsi" w:eastAsia="Roboto Condensed" w:hAnsiTheme="majorHAnsi" w:cstheme="majorHAnsi"/>
            <w:color w:val="1155CC"/>
            <w:sz w:val="20"/>
            <w:szCs w:val="20"/>
            <w:u w:val="single"/>
          </w:rPr>
          <w:t>policy</w:t>
        </w:r>
      </w:hyperlink>
      <w:r w:rsidRPr="007605A8">
        <w:rPr>
          <w:rFonts w:asciiTheme="majorHAnsi" w:eastAsia="Roboto Condensed" w:hAnsiTheme="majorHAnsi" w:cstheme="majorHAnsi"/>
          <w:sz w:val="20"/>
          <w:szCs w:val="20"/>
        </w:rPr>
        <w:t>.</w:t>
      </w:r>
    </w:p>
    <w:p w:rsidR="003B3D68" w:rsidRPr="007605A8" w:rsidRDefault="00CA1A40">
      <w:pPr>
        <w:spacing w:before="240" w:after="240"/>
        <w:rPr>
          <w:rFonts w:asciiTheme="majorHAnsi" w:eastAsia="Roboto Condensed" w:hAnsiTheme="majorHAnsi" w:cstheme="majorHAnsi"/>
          <w:sz w:val="20"/>
          <w:szCs w:val="20"/>
        </w:rPr>
      </w:pPr>
      <w:hyperlink r:id="rId9" w:anchor="/policy/SkgAY-N5Z?bc=true&amp;bcCurrent=Attendance%2C%20Graduate&amp;bcGroup=Course%20and%20Program%20Enrollment&amp;bcItemType=policies">
        <w:r w:rsidR="00747908" w:rsidRPr="007605A8">
          <w:rPr>
            <w:rFonts w:asciiTheme="majorHAnsi" w:eastAsia="Roboto Condensed" w:hAnsiTheme="majorHAnsi" w:cstheme="majorHAnsi"/>
            <w:b/>
            <w:color w:val="1155CC"/>
            <w:sz w:val="20"/>
            <w:szCs w:val="20"/>
            <w:u w:val="single"/>
          </w:rPr>
          <w:t>Attendance Policy:</w:t>
        </w:r>
      </w:hyperlink>
      <w:r w:rsidR="00747908" w:rsidRPr="007605A8">
        <w:rPr>
          <w:rFonts w:asciiTheme="majorHAnsi" w:eastAsia="Roboto Condensed" w:hAnsiTheme="majorHAnsi" w:cstheme="majorHAnsi"/>
          <w:sz w:val="20"/>
          <w:szCs w:val="20"/>
        </w:rPr>
        <w:t xml:space="preserve">  It is the responsibility of each student to attend all of the scheduled class meetings in a given course. Documented absences resulting from legitimate circumstances, such as personal illness, involvement in sanctioned university events, a death in the immediate family, etc. should not negatively impact a student’s grade or academic standing. Notwithstanding the previous statement, once a student has missed enough classes that the instructor believes the student cannot meet the goals of the course within the remaining time frame, the student may be given a failing grade or be considered for an Incomplete (I) and given a defined period to complete remaining course work.</w:t>
      </w:r>
    </w:p>
    <w:p w:rsidR="003B3D68" w:rsidRPr="007605A8" w:rsidRDefault="00CA1A40">
      <w:pPr>
        <w:spacing w:before="240" w:after="240"/>
        <w:rPr>
          <w:rFonts w:asciiTheme="majorHAnsi" w:eastAsia="Roboto Condensed" w:hAnsiTheme="majorHAnsi" w:cstheme="majorHAnsi"/>
          <w:sz w:val="20"/>
          <w:szCs w:val="20"/>
        </w:rPr>
      </w:pPr>
      <w:hyperlink r:id="rId10" w:anchor="/policy/r1OYGnNcb?bc=true&amp;bcCurrent=Academic%20Honesty%20Policy&amp;bcItemType=policies">
        <w:r w:rsidR="00747908" w:rsidRPr="007605A8">
          <w:rPr>
            <w:rFonts w:asciiTheme="majorHAnsi" w:eastAsia="Roboto Condensed" w:hAnsiTheme="majorHAnsi" w:cstheme="majorHAnsi"/>
            <w:b/>
            <w:color w:val="1155CC"/>
            <w:sz w:val="20"/>
            <w:szCs w:val="20"/>
            <w:u w:val="single"/>
          </w:rPr>
          <w:t>Academic Honesty Policy</w:t>
        </w:r>
      </w:hyperlink>
      <w:r w:rsidR="00747908" w:rsidRPr="007605A8">
        <w:rPr>
          <w:rFonts w:asciiTheme="majorHAnsi" w:eastAsia="Roboto Condensed" w:hAnsiTheme="majorHAnsi" w:cstheme="majorHAnsi"/>
          <w:sz w:val="20"/>
          <w:szCs w:val="20"/>
        </w:rPr>
        <w:t>: Southern New Hampshire University requires all students to adhere to high standards of integrity in their academic work. Activities such as plagiarism and cheating are not condoned by the university. Students involved in such activities are subject to serious disciplinary action. Plagiarism is defined as the use, whether by paraphrase or direct quotation, of the published or unpublished work of another without full and clear acknowledgment. Cheating includes the giving or receiving of unauthorized assistance on quizzes, examinations or written assignments from any source not approved by the instructor.</w:t>
      </w:r>
    </w:p>
    <w:p w:rsidR="003B3D68" w:rsidRPr="007605A8" w:rsidRDefault="00CA1A40">
      <w:pPr>
        <w:spacing w:before="240" w:after="240"/>
        <w:rPr>
          <w:rFonts w:asciiTheme="majorHAnsi" w:eastAsia="Roboto Condensed" w:hAnsiTheme="majorHAnsi" w:cstheme="majorHAnsi"/>
          <w:sz w:val="20"/>
          <w:szCs w:val="20"/>
        </w:rPr>
      </w:pPr>
      <w:hyperlink r:id="rId11" w:anchor="/policy/S1z-VUEqZ?bc=true&amp;bcCurrent=Class%20Cancellations&amp;bcItemType=policies">
        <w:r w:rsidR="00747908" w:rsidRPr="007605A8">
          <w:rPr>
            <w:rFonts w:asciiTheme="majorHAnsi" w:eastAsia="Roboto Condensed" w:hAnsiTheme="majorHAnsi" w:cstheme="majorHAnsi"/>
            <w:b/>
            <w:color w:val="1155CC"/>
            <w:sz w:val="20"/>
            <w:szCs w:val="20"/>
            <w:u w:val="single"/>
          </w:rPr>
          <w:t>Class Cancellations:</w:t>
        </w:r>
      </w:hyperlink>
      <w:r w:rsidR="00747908" w:rsidRPr="007605A8">
        <w:rPr>
          <w:rFonts w:asciiTheme="majorHAnsi" w:eastAsia="Roboto Condensed" w:hAnsiTheme="majorHAnsi" w:cstheme="majorHAnsi"/>
          <w:b/>
          <w:sz w:val="20"/>
          <w:szCs w:val="20"/>
          <w:u w:val="single"/>
        </w:rPr>
        <w:t xml:space="preserve"> </w:t>
      </w:r>
      <w:r w:rsidR="00747908" w:rsidRPr="007605A8">
        <w:rPr>
          <w:rFonts w:asciiTheme="majorHAnsi" w:eastAsia="Roboto Condensed" w:hAnsiTheme="majorHAnsi" w:cstheme="majorHAnsi"/>
          <w:sz w:val="20"/>
          <w:szCs w:val="20"/>
        </w:rPr>
        <w:t>Class cancellations will be announced in person at the classroom by either a faculty or staff member of the university or posted on official forms issued by the school's dean's office. When in doubt as to whether a class has been cancelled, students should check with the school administrative staff. Unofficial cancellation notices attached to doors or information posted on blackboards should be disregarded.</w:t>
      </w:r>
    </w:p>
    <w:p w:rsidR="003B3D68" w:rsidRPr="007605A8" w:rsidRDefault="00CA1A40">
      <w:pPr>
        <w:spacing w:before="240" w:after="240"/>
        <w:rPr>
          <w:rFonts w:asciiTheme="majorHAnsi" w:eastAsia="Roboto Condensed" w:hAnsiTheme="majorHAnsi" w:cstheme="majorHAnsi"/>
          <w:sz w:val="20"/>
          <w:szCs w:val="20"/>
        </w:rPr>
      </w:pPr>
      <w:hyperlink r:id="rId12">
        <w:r w:rsidR="00747908" w:rsidRPr="007605A8">
          <w:rPr>
            <w:rFonts w:asciiTheme="majorHAnsi" w:eastAsia="Roboto Condensed" w:hAnsiTheme="majorHAnsi" w:cstheme="majorHAnsi"/>
            <w:b/>
            <w:color w:val="1155CC"/>
            <w:sz w:val="20"/>
            <w:szCs w:val="20"/>
            <w:u w:val="single"/>
          </w:rPr>
          <w:t>Copyright Guide &amp; Policy</w:t>
        </w:r>
      </w:hyperlink>
      <w:r w:rsidR="00747908" w:rsidRPr="007605A8">
        <w:rPr>
          <w:rFonts w:asciiTheme="majorHAnsi" w:eastAsia="Roboto Condensed" w:hAnsiTheme="majorHAnsi" w:cstheme="majorHAnsi"/>
          <w:sz w:val="20"/>
          <w:szCs w:val="20"/>
        </w:rPr>
        <w:t>: Southern New Hampshire University abides by the provisions of United States Copyright Act (Title 17 of the United States Code). Any person who infringes the copyright law is liable. Questions regarding copyright may be addressed to the Dean of the University Library.</w:t>
      </w:r>
    </w:p>
    <w:p w:rsidR="003B3D68" w:rsidRPr="007605A8" w:rsidRDefault="00CA1A40">
      <w:pPr>
        <w:spacing w:before="240" w:after="240"/>
        <w:rPr>
          <w:rFonts w:asciiTheme="majorHAnsi" w:eastAsia="Roboto Condensed" w:hAnsiTheme="majorHAnsi" w:cstheme="majorHAnsi"/>
          <w:sz w:val="20"/>
          <w:szCs w:val="20"/>
        </w:rPr>
      </w:pPr>
      <w:hyperlink r:id="rId13" w:anchor="/policy/BkoV2ZVcZ?bc=true&amp;bcCurrent=Course%20Add%20and%20Drop&amp;bcItemType=policies">
        <w:r w:rsidR="00747908" w:rsidRPr="007605A8">
          <w:rPr>
            <w:rFonts w:asciiTheme="majorHAnsi" w:eastAsia="Roboto Condensed" w:hAnsiTheme="majorHAnsi" w:cstheme="majorHAnsi"/>
            <w:b/>
            <w:color w:val="1155CC"/>
            <w:sz w:val="20"/>
            <w:szCs w:val="20"/>
            <w:u w:val="single"/>
          </w:rPr>
          <w:t>Course Add and Drop:</w:t>
        </w:r>
      </w:hyperlink>
      <w:r w:rsidR="00747908" w:rsidRPr="007605A8">
        <w:rPr>
          <w:rFonts w:asciiTheme="majorHAnsi" w:eastAsia="Roboto Condensed" w:hAnsiTheme="majorHAnsi" w:cstheme="majorHAnsi"/>
          <w:sz w:val="20"/>
          <w:szCs w:val="20"/>
        </w:rPr>
        <w:t xml:space="preserve"> Students who wish to change their schedules must do so during add/drop period beginning with registration and ending at the end of the fifth class day. Students who miss the first two sessions of a class may be dropped by that instructor without prior notice.</w:t>
      </w:r>
    </w:p>
    <w:p w:rsidR="003B3D68" w:rsidRPr="007605A8" w:rsidRDefault="00CA1A40">
      <w:pPr>
        <w:spacing w:before="240" w:after="240"/>
        <w:rPr>
          <w:rFonts w:asciiTheme="majorHAnsi" w:eastAsia="Roboto Condensed" w:hAnsiTheme="majorHAnsi" w:cstheme="majorHAnsi"/>
          <w:sz w:val="20"/>
          <w:szCs w:val="20"/>
        </w:rPr>
      </w:pPr>
      <w:hyperlink r:id="rId14" w:anchor="/policy/By5FAMpjf?bc=true&amp;bcCurrent=Grade%20Scale%20and%20GPA&amp;bcItemType=policies">
        <w:r w:rsidR="00747908" w:rsidRPr="007605A8">
          <w:rPr>
            <w:rFonts w:asciiTheme="majorHAnsi" w:eastAsia="Roboto Condensed" w:hAnsiTheme="majorHAnsi" w:cstheme="majorHAnsi"/>
            <w:b/>
            <w:color w:val="1155CC"/>
            <w:sz w:val="20"/>
            <w:szCs w:val="20"/>
            <w:u w:val="single"/>
          </w:rPr>
          <w:t>Grade Scale and GPA</w:t>
        </w:r>
      </w:hyperlink>
      <w:r w:rsidR="00747908" w:rsidRPr="007605A8">
        <w:rPr>
          <w:rFonts w:asciiTheme="majorHAnsi" w:eastAsia="Roboto Condensed" w:hAnsiTheme="majorHAnsi" w:cstheme="majorHAnsi"/>
          <w:b/>
          <w:sz w:val="20"/>
          <w:szCs w:val="20"/>
          <w:u w:val="single"/>
        </w:rPr>
        <w:t xml:space="preserve">: </w:t>
      </w:r>
      <w:r w:rsidR="00747908" w:rsidRPr="007605A8">
        <w:rPr>
          <w:rFonts w:asciiTheme="majorHAnsi" w:eastAsia="Roboto Condensed" w:hAnsiTheme="majorHAnsi" w:cstheme="majorHAnsi"/>
          <w:sz w:val="20"/>
          <w:szCs w:val="20"/>
        </w:rPr>
        <w:t xml:space="preserve">This policy impacts all SNHU students, regardless of delivery system, or major and creates a consistency throughout the University regarding the numeric grades that equate to the different tiers of letter grades. </w:t>
      </w:r>
    </w:p>
    <w:p w:rsidR="003B3D68" w:rsidRPr="007605A8" w:rsidRDefault="00CA1A40">
      <w:pPr>
        <w:spacing w:before="240" w:after="240"/>
        <w:rPr>
          <w:rFonts w:asciiTheme="majorHAnsi" w:eastAsia="Roboto Condensed" w:hAnsiTheme="majorHAnsi" w:cstheme="majorHAnsi"/>
          <w:sz w:val="20"/>
          <w:szCs w:val="20"/>
        </w:rPr>
      </w:pPr>
      <w:hyperlink r:id="rId15" w:anchor="/policy/r1eJFhEcb?bc=true&amp;bcCurrent=Inclusivity%20%26%20Non-Discrimination&amp;bcItemType=policies">
        <w:r w:rsidR="00747908" w:rsidRPr="007605A8">
          <w:rPr>
            <w:rFonts w:asciiTheme="majorHAnsi" w:eastAsia="Roboto Condensed" w:hAnsiTheme="majorHAnsi" w:cstheme="majorHAnsi"/>
            <w:b/>
            <w:color w:val="1155CC"/>
            <w:sz w:val="20"/>
            <w:szCs w:val="20"/>
            <w:u w:val="single"/>
          </w:rPr>
          <w:t>Inclusivity &amp; Non-Discrimination Policy:</w:t>
        </w:r>
      </w:hyperlink>
      <w:r w:rsidR="00747908" w:rsidRPr="007605A8">
        <w:rPr>
          <w:rFonts w:asciiTheme="majorHAnsi" w:eastAsia="Roboto Condensed" w:hAnsiTheme="majorHAnsi" w:cstheme="majorHAnsi"/>
          <w:sz w:val="20"/>
          <w:szCs w:val="20"/>
        </w:rPr>
        <w:t xml:space="preserve"> Southern New Hampshire University values and promotes social diversity, inclusivity, and social justice.</w:t>
      </w:r>
    </w:p>
    <w:p w:rsidR="003B3D68" w:rsidRPr="007605A8" w:rsidRDefault="00747908">
      <w:pPr>
        <w:spacing w:before="240" w:after="240"/>
        <w:rPr>
          <w:rFonts w:asciiTheme="majorHAnsi" w:eastAsia="Roboto Condensed" w:hAnsiTheme="majorHAnsi" w:cstheme="majorHAnsi"/>
          <w:sz w:val="20"/>
          <w:szCs w:val="20"/>
        </w:rPr>
      </w:pPr>
      <w:r w:rsidRPr="007605A8">
        <w:rPr>
          <w:rFonts w:asciiTheme="majorHAnsi" w:eastAsia="Roboto Condensed" w:hAnsiTheme="majorHAnsi" w:cstheme="majorHAnsi"/>
          <w:b/>
          <w:sz w:val="20"/>
          <w:szCs w:val="20"/>
          <w:u w:val="single"/>
        </w:rPr>
        <w:t>Library Resource Statement</w:t>
      </w:r>
      <w:r w:rsidRPr="007605A8">
        <w:rPr>
          <w:rFonts w:asciiTheme="majorHAnsi" w:eastAsia="Roboto Condensed" w:hAnsiTheme="majorHAnsi" w:cstheme="majorHAnsi"/>
          <w:b/>
          <w:sz w:val="20"/>
          <w:szCs w:val="20"/>
        </w:rPr>
        <w:t>:</w:t>
      </w:r>
      <w:r w:rsidRPr="007605A8">
        <w:rPr>
          <w:rFonts w:asciiTheme="majorHAnsi" w:eastAsia="Roboto Condensed" w:hAnsiTheme="majorHAnsi" w:cstheme="majorHAnsi"/>
          <w:sz w:val="20"/>
          <w:szCs w:val="20"/>
        </w:rPr>
        <w:t xml:space="preserve"> In addition to the intellectual resources available on site and</w:t>
      </w:r>
      <w:hyperlink r:id="rId16">
        <w:r w:rsidRPr="007605A8">
          <w:rPr>
            <w:rFonts w:asciiTheme="majorHAnsi" w:eastAsia="Roboto Condensed" w:hAnsiTheme="majorHAnsi" w:cstheme="majorHAnsi"/>
            <w:sz w:val="20"/>
            <w:szCs w:val="20"/>
          </w:rPr>
          <w:t xml:space="preserve"> </w:t>
        </w:r>
      </w:hyperlink>
      <w:hyperlink r:id="rId17">
        <w:r w:rsidRPr="007605A8">
          <w:rPr>
            <w:rFonts w:asciiTheme="majorHAnsi" w:eastAsia="Roboto Condensed" w:hAnsiTheme="majorHAnsi" w:cstheme="majorHAnsi"/>
            <w:color w:val="1155CC"/>
            <w:sz w:val="20"/>
            <w:szCs w:val="20"/>
            <w:u w:val="single"/>
          </w:rPr>
          <w:t>online</w:t>
        </w:r>
      </w:hyperlink>
      <w:r w:rsidRPr="007605A8">
        <w:rPr>
          <w:rFonts w:asciiTheme="majorHAnsi" w:eastAsia="Roboto Condensed" w:hAnsiTheme="majorHAnsi" w:cstheme="majorHAnsi"/>
          <w:sz w:val="20"/>
          <w:szCs w:val="20"/>
        </w:rPr>
        <w:t>, Shapiro Library makes available group and one-on-one instruction in information literacy, enabling students to define and articulate what knowledge-based resources are relevant to their research interests. Library staff are available to assist students in effectively and efficiently accessing information from credible sources, to compare new knowledge with prior beliefs, and to consider the related ethical, legal, and socio-economic issues that are inherent in scholarly investigation.</w:t>
      </w:r>
    </w:p>
    <w:p w:rsidR="003B3D68" w:rsidRPr="007605A8" w:rsidRDefault="00CA1A40">
      <w:pPr>
        <w:spacing w:before="240" w:after="240"/>
        <w:rPr>
          <w:rFonts w:asciiTheme="majorHAnsi" w:eastAsia="Roboto Condensed" w:hAnsiTheme="majorHAnsi" w:cstheme="majorHAnsi"/>
          <w:sz w:val="20"/>
          <w:szCs w:val="20"/>
        </w:rPr>
      </w:pPr>
      <w:hyperlink r:id="rId18" w:anchor="/policy/r1NHC8Eqb?bc=true&amp;bcCurrent=Student%20Academic%20Complaint&amp;bcItemType=policies">
        <w:r w:rsidR="00747908" w:rsidRPr="007605A8">
          <w:rPr>
            <w:rFonts w:asciiTheme="majorHAnsi" w:eastAsia="Roboto Condensed" w:hAnsiTheme="majorHAnsi" w:cstheme="majorHAnsi"/>
            <w:b/>
            <w:color w:val="1155CC"/>
            <w:sz w:val="20"/>
            <w:szCs w:val="20"/>
            <w:u w:val="single"/>
          </w:rPr>
          <w:t>Student Academic Complaint:</w:t>
        </w:r>
      </w:hyperlink>
      <w:r w:rsidR="00747908" w:rsidRPr="007605A8">
        <w:rPr>
          <w:rFonts w:asciiTheme="majorHAnsi" w:eastAsia="Roboto Condensed" w:hAnsiTheme="majorHAnsi" w:cstheme="majorHAnsi"/>
          <w:sz w:val="20"/>
          <w:szCs w:val="20"/>
        </w:rPr>
        <w:t xml:space="preserve"> If a student in University College has a complaint about an instructor or course, then they should speak first to the instructor. If the student is not satisfied or cannot resolve the issue at that level, then they should speak to the Program Coordinator/Department Chair. If the student is still not satisfied, then they should speak to the school Dean or Program Director. If the student wishes to pursue the matter further, then they should speak to the Provost, who will review the matter and make a final decision.</w:t>
      </w:r>
    </w:p>
    <w:p w:rsidR="003B3D68" w:rsidRPr="007605A8" w:rsidRDefault="00747908" w:rsidP="00B70387">
      <w:pPr>
        <w:spacing w:before="240" w:after="240"/>
        <w:rPr>
          <w:rFonts w:asciiTheme="majorHAnsi" w:eastAsia="Roboto Condensed" w:hAnsiTheme="majorHAnsi" w:cstheme="majorHAnsi"/>
        </w:rPr>
      </w:pPr>
      <w:r w:rsidRPr="007605A8">
        <w:rPr>
          <w:rFonts w:asciiTheme="majorHAnsi" w:eastAsia="Roboto Condensed" w:hAnsiTheme="majorHAnsi" w:cstheme="majorHAnsi"/>
          <w:sz w:val="20"/>
          <w:szCs w:val="20"/>
        </w:rPr>
        <w:t>More information about SNHU policies can be found on the policy</w:t>
      </w:r>
      <w:hyperlink r:id="rId19" w:anchor="/policies">
        <w:r w:rsidRPr="007605A8">
          <w:rPr>
            <w:rFonts w:asciiTheme="majorHAnsi" w:eastAsia="Roboto Condensed" w:hAnsiTheme="majorHAnsi" w:cstheme="majorHAnsi"/>
            <w:sz w:val="20"/>
            <w:szCs w:val="20"/>
          </w:rPr>
          <w:t xml:space="preserve"> </w:t>
        </w:r>
      </w:hyperlink>
      <w:hyperlink r:id="rId20" w:anchor="/policies">
        <w:r w:rsidRPr="007605A8">
          <w:rPr>
            <w:rFonts w:asciiTheme="majorHAnsi" w:eastAsia="Roboto Condensed" w:hAnsiTheme="majorHAnsi" w:cstheme="majorHAnsi"/>
            <w:color w:val="1155CC"/>
            <w:sz w:val="20"/>
            <w:szCs w:val="20"/>
            <w:u w:val="single"/>
          </w:rPr>
          <w:t>page</w:t>
        </w:r>
      </w:hyperlink>
      <w:r w:rsidRPr="007605A8">
        <w:rPr>
          <w:rFonts w:asciiTheme="majorHAnsi" w:eastAsia="Roboto Condensed" w:hAnsiTheme="majorHAnsi" w:cstheme="majorHAnsi"/>
          <w:sz w:val="20"/>
          <w:szCs w:val="20"/>
        </w:rPr>
        <w:t>.</w:t>
      </w:r>
    </w:p>
    <w:sectPr w:rsidR="003B3D68" w:rsidRPr="007605A8" w:rsidSect="001B37F0">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Condens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16647"/>
    <w:multiLevelType w:val="hybridMultilevel"/>
    <w:tmpl w:val="1F62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34332"/>
    <w:multiLevelType w:val="hybridMultilevel"/>
    <w:tmpl w:val="23D0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68"/>
    <w:rsid w:val="001B37F0"/>
    <w:rsid w:val="003B3D68"/>
    <w:rsid w:val="00747908"/>
    <w:rsid w:val="007605A8"/>
    <w:rsid w:val="00B70387"/>
    <w:rsid w:val="00CA1A40"/>
    <w:rsid w:val="00CB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A70D"/>
  <w15:docId w15:val="{39E3433E-B6AD-4BDE-B3DA-C7EA4357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37F0"/>
    <w:pPr>
      <w:ind w:left="720"/>
      <w:contextualSpacing/>
    </w:pPr>
  </w:style>
  <w:style w:type="paragraph" w:styleId="BalloonText">
    <w:name w:val="Balloon Text"/>
    <w:basedOn w:val="Normal"/>
    <w:link w:val="BalloonTextChar"/>
    <w:uiPriority w:val="99"/>
    <w:semiHidden/>
    <w:unhideWhenUsed/>
    <w:rsid w:val="00B703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798250">
      <w:bodyDiv w:val="1"/>
      <w:marLeft w:val="0"/>
      <w:marRight w:val="0"/>
      <w:marTop w:val="0"/>
      <w:marBottom w:val="0"/>
      <w:divBdr>
        <w:top w:val="none" w:sz="0" w:space="0" w:color="auto"/>
        <w:left w:val="none" w:sz="0" w:space="0" w:color="auto"/>
        <w:bottom w:val="none" w:sz="0" w:space="0" w:color="auto"/>
        <w:right w:val="none" w:sz="0" w:space="0" w:color="auto"/>
      </w:divBdr>
    </w:div>
    <w:div w:id="195494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nhu.edu/admission/academic-catalogs/uc-catalog" TargetMode="External"/><Relationship Id="rId13" Type="http://schemas.openxmlformats.org/officeDocument/2006/relationships/hyperlink" Target="https://www.snhu.edu/admission/academic-catalogs/uc-catalog" TargetMode="External"/><Relationship Id="rId18" Type="http://schemas.openxmlformats.org/officeDocument/2006/relationships/hyperlink" Target="https://www.snhu.edu/admission/academic-catalogs/uc-catalo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nhu.edu/admission/academic-catalogs/uc-catalog" TargetMode="External"/><Relationship Id="rId12" Type="http://schemas.openxmlformats.org/officeDocument/2006/relationships/hyperlink" Target="https://libguides.snhu.edu/c.php?g=92258" TargetMode="External"/><Relationship Id="rId17" Type="http://schemas.openxmlformats.org/officeDocument/2006/relationships/hyperlink" Target="https://libguides.snhu.edu/home" TargetMode="External"/><Relationship Id="rId2" Type="http://schemas.openxmlformats.org/officeDocument/2006/relationships/styles" Target="styles.xml"/><Relationship Id="rId16" Type="http://schemas.openxmlformats.org/officeDocument/2006/relationships/hyperlink" Target="https://libguides.snhu.edu/home" TargetMode="External"/><Relationship Id="rId20" Type="http://schemas.openxmlformats.org/officeDocument/2006/relationships/hyperlink" Target="https://www.snhu.edu/admission/academic-catalogs/uc-catalog" TargetMode="External"/><Relationship Id="rId1" Type="http://schemas.openxmlformats.org/officeDocument/2006/relationships/numbering" Target="numbering.xml"/><Relationship Id="rId6" Type="http://schemas.openxmlformats.org/officeDocument/2006/relationships/hyperlink" Target="https://my.snhu.edu/Offices/DisaBilityServices/Pages/default.aspx" TargetMode="External"/><Relationship Id="rId11" Type="http://schemas.openxmlformats.org/officeDocument/2006/relationships/hyperlink" Target="https://www.snhu.edu/admission/academic-catalogs/uc-catalog" TargetMode="External"/><Relationship Id="rId5" Type="http://schemas.openxmlformats.org/officeDocument/2006/relationships/image" Target="media/image1.jpg"/><Relationship Id="rId15" Type="http://schemas.openxmlformats.org/officeDocument/2006/relationships/hyperlink" Target="https://www.snhu.edu/admission/academic-catalogs/uc-catalog" TargetMode="External"/><Relationship Id="rId10" Type="http://schemas.openxmlformats.org/officeDocument/2006/relationships/hyperlink" Target="https://www.snhu.edu/admission/academic-catalogs/uc-catalog" TargetMode="External"/><Relationship Id="rId19" Type="http://schemas.openxmlformats.org/officeDocument/2006/relationships/hyperlink" Target="https://www.snhu.edu/admission/academic-catalogs/uc-catalog" TargetMode="External"/><Relationship Id="rId4" Type="http://schemas.openxmlformats.org/officeDocument/2006/relationships/webSettings" Target="webSettings.xml"/><Relationship Id="rId9" Type="http://schemas.openxmlformats.org/officeDocument/2006/relationships/hyperlink" Target="https://www.snhu.edu/admission/academic-catalogs/uc-catalog" TargetMode="External"/><Relationship Id="rId14" Type="http://schemas.openxmlformats.org/officeDocument/2006/relationships/hyperlink" Target="https://www.snhu.edu/admission/academic-catalogs/uc-catalo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SNHU</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Christopher</dc:creator>
  <cp:lastModifiedBy>Schmid, Christopher</cp:lastModifiedBy>
  <cp:revision>4</cp:revision>
  <cp:lastPrinted>2020-05-20T01:41:00Z</cp:lastPrinted>
  <dcterms:created xsi:type="dcterms:W3CDTF">2020-05-20T01:18:00Z</dcterms:created>
  <dcterms:modified xsi:type="dcterms:W3CDTF">2020-05-21T13:53:00Z</dcterms:modified>
</cp:coreProperties>
</file>